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4645AD" w14:textId="28001F80" w:rsidR="00BD7359" w:rsidRPr="007D0774" w:rsidRDefault="008D79A2" w:rsidP="00BD7359">
      <w:pPr>
        <w:jc w:val="center"/>
        <w:rPr>
          <w:rFonts w:ascii="Gilroy Bold" w:hAnsi="Gilroy Bold"/>
          <w:sz w:val="28"/>
          <w:szCs w:val="28"/>
        </w:rPr>
      </w:pPr>
      <w:r w:rsidRPr="007D0774">
        <w:rPr>
          <w:rFonts w:ascii="Gilroy Bold" w:hAnsi="Gilroy Bold"/>
          <w:sz w:val="28"/>
          <w:szCs w:val="28"/>
        </w:rPr>
        <w:t>COMUNICADO DE PRENSA</w:t>
      </w:r>
    </w:p>
    <w:p w14:paraId="378CF7B5" w14:textId="40BDC160" w:rsidR="00BD7359" w:rsidRPr="0030566F" w:rsidRDefault="00BD7359" w:rsidP="00BD7359">
      <w:pPr>
        <w:rPr>
          <w:rFonts w:ascii="Gilroy" w:hAnsi="Gilroy"/>
          <w:b/>
          <w:bCs/>
          <w:color w:val="EE0000"/>
          <w:sz w:val="24"/>
          <w:szCs w:val="24"/>
        </w:rPr>
      </w:pPr>
      <w:r w:rsidRPr="0030566F">
        <w:rPr>
          <w:rFonts w:ascii="Gilroy" w:hAnsi="Gilroy"/>
          <w:b/>
          <w:bCs/>
          <w:color w:val="EE0000"/>
          <w:sz w:val="24"/>
          <w:szCs w:val="24"/>
        </w:rPr>
        <w:t xml:space="preserve">IMPORTANTE: Esta nota de prensa no puede ser distribuida antes del </w:t>
      </w:r>
      <w:r w:rsidR="001C424D" w:rsidRPr="0030566F">
        <w:rPr>
          <w:rFonts w:ascii="Gilroy" w:hAnsi="Gilroy"/>
          <w:b/>
          <w:bCs/>
          <w:color w:val="EE0000"/>
          <w:sz w:val="24"/>
          <w:szCs w:val="24"/>
        </w:rPr>
        <w:t>jueves</w:t>
      </w:r>
      <w:r w:rsidRPr="0030566F">
        <w:rPr>
          <w:rFonts w:ascii="Gilroy" w:hAnsi="Gilroy"/>
          <w:b/>
          <w:bCs/>
          <w:color w:val="EE0000"/>
          <w:sz w:val="24"/>
          <w:szCs w:val="24"/>
        </w:rPr>
        <w:t xml:space="preserve"> </w:t>
      </w:r>
      <w:r w:rsidR="001C424D" w:rsidRPr="0030566F">
        <w:rPr>
          <w:rFonts w:ascii="Gilroy" w:hAnsi="Gilroy"/>
          <w:b/>
          <w:bCs/>
          <w:color w:val="EE0000"/>
          <w:sz w:val="24"/>
          <w:szCs w:val="24"/>
        </w:rPr>
        <w:t>2</w:t>
      </w:r>
      <w:r w:rsidR="003C719A">
        <w:rPr>
          <w:rFonts w:ascii="Gilroy" w:hAnsi="Gilroy"/>
          <w:b/>
          <w:bCs/>
          <w:color w:val="EE0000"/>
          <w:sz w:val="24"/>
          <w:szCs w:val="24"/>
        </w:rPr>
        <w:t>4</w:t>
      </w:r>
      <w:r w:rsidR="00B47CEE" w:rsidRPr="0030566F">
        <w:rPr>
          <w:rFonts w:ascii="Gilroy" w:hAnsi="Gilroy"/>
          <w:b/>
          <w:bCs/>
          <w:color w:val="EE0000"/>
          <w:sz w:val="24"/>
          <w:szCs w:val="24"/>
        </w:rPr>
        <w:t xml:space="preserve"> </w:t>
      </w:r>
      <w:r w:rsidRPr="0030566F">
        <w:rPr>
          <w:rFonts w:ascii="Gilroy" w:hAnsi="Gilroy"/>
          <w:b/>
          <w:bCs/>
          <w:color w:val="EE0000"/>
          <w:sz w:val="24"/>
          <w:szCs w:val="24"/>
        </w:rPr>
        <w:t xml:space="preserve">de </w:t>
      </w:r>
      <w:r w:rsidR="001C424D" w:rsidRPr="0030566F">
        <w:rPr>
          <w:rFonts w:ascii="Gilroy" w:hAnsi="Gilroy"/>
          <w:b/>
          <w:bCs/>
          <w:color w:val="EE0000"/>
          <w:sz w:val="24"/>
          <w:szCs w:val="24"/>
        </w:rPr>
        <w:t>setiembre</w:t>
      </w:r>
      <w:r w:rsidR="00B47CEE" w:rsidRPr="0030566F">
        <w:rPr>
          <w:rFonts w:ascii="Gilroy" w:hAnsi="Gilroy"/>
          <w:b/>
          <w:bCs/>
          <w:color w:val="EE0000"/>
          <w:sz w:val="24"/>
          <w:szCs w:val="24"/>
        </w:rPr>
        <w:t xml:space="preserve"> </w:t>
      </w:r>
      <w:r w:rsidRPr="0030566F">
        <w:rPr>
          <w:rFonts w:ascii="Gilroy" w:hAnsi="Gilroy"/>
          <w:b/>
          <w:bCs/>
          <w:color w:val="EE0000"/>
          <w:sz w:val="24"/>
          <w:szCs w:val="24"/>
        </w:rPr>
        <w:t>del 202</w:t>
      </w:r>
      <w:r w:rsidR="003C719A">
        <w:rPr>
          <w:rFonts w:ascii="Gilroy" w:hAnsi="Gilroy"/>
          <w:b/>
          <w:bCs/>
          <w:color w:val="EE0000"/>
          <w:sz w:val="24"/>
          <w:szCs w:val="24"/>
        </w:rPr>
        <w:t>6</w:t>
      </w:r>
      <w:r w:rsidRPr="0030566F">
        <w:rPr>
          <w:rFonts w:ascii="Gilroy" w:hAnsi="Gilroy"/>
          <w:b/>
          <w:bCs/>
          <w:color w:val="EE0000"/>
          <w:sz w:val="24"/>
          <w:szCs w:val="24"/>
        </w:rPr>
        <w:t xml:space="preserve"> a las </w:t>
      </w:r>
      <w:r w:rsidR="00B47CEE" w:rsidRPr="0030566F">
        <w:rPr>
          <w:rFonts w:ascii="Gilroy" w:hAnsi="Gilroy"/>
          <w:b/>
          <w:bCs/>
          <w:color w:val="EE0000"/>
          <w:sz w:val="24"/>
          <w:szCs w:val="24"/>
        </w:rPr>
        <w:t>11</w:t>
      </w:r>
      <w:r w:rsidRPr="0030566F">
        <w:rPr>
          <w:rFonts w:ascii="Gilroy" w:hAnsi="Gilroy"/>
          <w:b/>
          <w:bCs/>
          <w:color w:val="EE0000"/>
          <w:sz w:val="24"/>
          <w:szCs w:val="24"/>
        </w:rPr>
        <w:t xml:space="preserve">:00 </w:t>
      </w:r>
      <w:proofErr w:type="spellStart"/>
      <w:r w:rsidRPr="0030566F">
        <w:rPr>
          <w:rFonts w:ascii="Gilroy" w:hAnsi="Gilroy"/>
          <w:b/>
          <w:bCs/>
          <w:color w:val="EE0000"/>
          <w:sz w:val="24"/>
          <w:szCs w:val="24"/>
        </w:rPr>
        <w:t>hs</w:t>
      </w:r>
      <w:proofErr w:type="spellEnd"/>
      <w:r w:rsidRPr="0030566F">
        <w:rPr>
          <w:rFonts w:ascii="Gilroy" w:hAnsi="Gilroy"/>
          <w:b/>
          <w:bCs/>
          <w:color w:val="EE0000"/>
          <w:sz w:val="24"/>
          <w:szCs w:val="24"/>
        </w:rPr>
        <w:t>.</w:t>
      </w:r>
    </w:p>
    <w:p w14:paraId="601BBEB3" w14:textId="77777777" w:rsidR="00BD7359" w:rsidRPr="007D0774" w:rsidRDefault="00BD7359" w:rsidP="00BD7359">
      <w:pPr>
        <w:rPr>
          <w:rFonts w:ascii="Gilroy" w:hAnsi="Gilroy"/>
        </w:rPr>
      </w:pPr>
    </w:p>
    <w:p w14:paraId="281A04A6" w14:textId="68F8E3F6" w:rsidR="00BD7359" w:rsidRDefault="00BD7359" w:rsidP="00BD7359">
      <w:pPr>
        <w:rPr>
          <w:rFonts w:ascii="Gilroy" w:hAnsi="Gilroy"/>
        </w:rPr>
      </w:pPr>
      <w:r w:rsidRPr="007D0774">
        <w:rPr>
          <w:rFonts w:ascii="Gilroy" w:hAnsi="Gilroy"/>
          <w:highlight w:val="lightGray"/>
        </w:rPr>
        <w:t>Empresa X,</w:t>
      </w:r>
      <w:r w:rsidRPr="007D0774">
        <w:rPr>
          <w:rFonts w:ascii="Gilroy" w:hAnsi="Gilroy"/>
        </w:rPr>
        <w:t xml:space="preserve"> rankeada en el puesto </w:t>
      </w:r>
      <w:r w:rsidRPr="007D0774">
        <w:rPr>
          <w:rFonts w:ascii="Gilroy" w:hAnsi="Gilroy"/>
          <w:highlight w:val="lightGray"/>
        </w:rPr>
        <w:t>[puesto]</w:t>
      </w:r>
      <w:r w:rsidRPr="007D0774">
        <w:rPr>
          <w:rFonts w:ascii="Gilroy" w:hAnsi="Gilroy"/>
        </w:rPr>
        <w:t xml:space="preserve"> del ranking Los Mejores Lugares para Trabajar™ </w:t>
      </w:r>
      <w:r w:rsidR="0000279B">
        <w:rPr>
          <w:rFonts w:ascii="Gilroy" w:hAnsi="Gilroy"/>
        </w:rPr>
        <w:t xml:space="preserve">para </w:t>
      </w:r>
      <w:r w:rsidR="001C424D">
        <w:rPr>
          <w:rFonts w:ascii="Gilroy" w:hAnsi="Gilroy"/>
        </w:rPr>
        <w:t>Jóvenes</w:t>
      </w:r>
      <w:r w:rsidR="003C2DD7">
        <w:rPr>
          <w:rFonts w:ascii="Gilroy" w:hAnsi="Gilroy"/>
        </w:rPr>
        <w:t xml:space="preserve"> </w:t>
      </w:r>
      <w:r w:rsidRPr="007D0774">
        <w:rPr>
          <w:rFonts w:ascii="Gilroy" w:hAnsi="Gilroy"/>
        </w:rPr>
        <w:t>en Uruguay 202</w:t>
      </w:r>
      <w:r w:rsidR="003C719A">
        <w:rPr>
          <w:rFonts w:ascii="Gilroy" w:hAnsi="Gilroy"/>
        </w:rPr>
        <w:t>6</w:t>
      </w:r>
      <w:r w:rsidRPr="007D0774">
        <w:rPr>
          <w:rFonts w:ascii="Gilroy" w:hAnsi="Gilroy"/>
        </w:rPr>
        <w:t xml:space="preserve"> por Great Place to Work®.</w:t>
      </w:r>
    </w:p>
    <w:p w14:paraId="5A91D20C" w14:textId="31F56DA9" w:rsidR="00BD7359" w:rsidRDefault="00BD7359" w:rsidP="00BD7359">
      <w:pPr>
        <w:rPr>
          <w:rFonts w:ascii="Gilroy" w:hAnsi="Gilroy"/>
        </w:rPr>
      </w:pPr>
      <w:r w:rsidRPr="007D0774">
        <w:rPr>
          <w:rFonts w:ascii="Gilroy" w:hAnsi="Gilroy"/>
          <w:highlight w:val="lightGray"/>
        </w:rPr>
        <w:t>[Ciudad,]</w:t>
      </w:r>
      <w:r w:rsidRPr="007D0774">
        <w:rPr>
          <w:rFonts w:ascii="Gilroy" w:hAnsi="Gilroy"/>
        </w:rPr>
        <w:t xml:space="preserve"> </w:t>
      </w:r>
      <w:r w:rsidR="001C424D">
        <w:rPr>
          <w:rFonts w:ascii="Gilroy" w:hAnsi="Gilroy"/>
        </w:rPr>
        <w:t>2</w:t>
      </w:r>
      <w:r w:rsidR="003C719A">
        <w:rPr>
          <w:rFonts w:ascii="Gilroy" w:hAnsi="Gilroy"/>
        </w:rPr>
        <w:t>4</w:t>
      </w:r>
      <w:r w:rsidRPr="007D0774">
        <w:rPr>
          <w:rFonts w:ascii="Gilroy" w:hAnsi="Gilroy"/>
        </w:rPr>
        <w:t xml:space="preserve"> de </w:t>
      </w:r>
      <w:r w:rsidR="001C424D">
        <w:rPr>
          <w:rFonts w:ascii="Gilroy" w:hAnsi="Gilroy"/>
        </w:rPr>
        <w:t>setiembre</w:t>
      </w:r>
      <w:r w:rsidRPr="007D0774">
        <w:rPr>
          <w:rFonts w:ascii="Gilroy" w:hAnsi="Gilroy"/>
        </w:rPr>
        <w:t xml:space="preserve"> de 202</w:t>
      </w:r>
      <w:r w:rsidR="003C719A">
        <w:rPr>
          <w:rFonts w:ascii="Gilroy" w:hAnsi="Gilroy"/>
        </w:rPr>
        <w:t>6</w:t>
      </w:r>
      <w:r w:rsidRPr="007D0774">
        <w:rPr>
          <w:rFonts w:ascii="Gilroy" w:hAnsi="Gilroy"/>
        </w:rPr>
        <w:t xml:space="preserve"> – Great Place to Work®, la autoridad mundial en cultura organizacional clasifica a [</w:t>
      </w:r>
      <w:r w:rsidRPr="007D0774">
        <w:rPr>
          <w:rFonts w:ascii="Gilroy" w:hAnsi="Gilroy"/>
          <w:highlight w:val="lightGray"/>
        </w:rPr>
        <w:t>Nombre de la Empresa</w:t>
      </w:r>
      <w:r w:rsidRPr="007D0774">
        <w:rPr>
          <w:rFonts w:ascii="Gilroy" w:hAnsi="Gilroy"/>
        </w:rPr>
        <w:t xml:space="preserve">] número </w:t>
      </w:r>
      <w:r w:rsidRPr="007D0774">
        <w:rPr>
          <w:rFonts w:ascii="Gilroy" w:hAnsi="Gilroy"/>
          <w:highlight w:val="lightGray"/>
        </w:rPr>
        <w:t>[ranking]</w:t>
      </w:r>
      <w:r w:rsidRPr="007D0774">
        <w:rPr>
          <w:rFonts w:ascii="Gilroy" w:hAnsi="Gilroy"/>
        </w:rPr>
        <w:t xml:space="preserve"> en la lista de Los Mejores Lugares para Trabajar™ </w:t>
      </w:r>
      <w:r w:rsidR="003C2DD7">
        <w:rPr>
          <w:rFonts w:ascii="Gilroy" w:hAnsi="Gilroy"/>
        </w:rPr>
        <w:t xml:space="preserve">para </w:t>
      </w:r>
      <w:r w:rsidR="001C424D">
        <w:rPr>
          <w:rFonts w:ascii="Gilroy" w:hAnsi="Gilroy"/>
        </w:rPr>
        <w:t>Jóvenes</w:t>
      </w:r>
      <w:r w:rsidR="0095452D">
        <w:rPr>
          <w:rFonts w:ascii="Gilroy" w:hAnsi="Gilroy"/>
        </w:rPr>
        <w:t xml:space="preserve"> e</w:t>
      </w:r>
      <w:r w:rsidRPr="007D0774">
        <w:rPr>
          <w:rFonts w:ascii="Gilroy" w:hAnsi="Gilroy"/>
        </w:rPr>
        <w:t>n Uruguay</w:t>
      </w:r>
      <w:r w:rsidR="0095452D">
        <w:rPr>
          <w:rFonts w:ascii="Gilroy" w:hAnsi="Gilroy"/>
        </w:rPr>
        <w:t>.</w:t>
      </w:r>
    </w:p>
    <w:p w14:paraId="7683DEC8" w14:textId="77777777" w:rsidR="00FD425F" w:rsidRPr="00FD425F" w:rsidRDefault="00FD425F" w:rsidP="00FD425F">
      <w:pPr>
        <w:rPr>
          <w:rFonts w:ascii="Gilroy" w:hAnsi="Gilroy"/>
        </w:rPr>
      </w:pPr>
      <w:r w:rsidRPr="00FD425F">
        <w:rPr>
          <w:rFonts w:ascii="Gilroy" w:hAnsi="Gilroy"/>
        </w:rPr>
        <w:t>Great Place to Work® analizó la experiencia de los colaboradores en sus lugares de trabajo y lo hicieron a la luz del tamaño de cada organización, la composición de la fuerza laboral y lo que es típico en su industria.</w:t>
      </w:r>
      <w:r w:rsidRPr="00FD425F">
        <w:rPr>
          <w:rFonts w:ascii="Calibri" w:hAnsi="Calibri" w:cs="Calibri"/>
        </w:rPr>
        <w:t> </w:t>
      </w:r>
    </w:p>
    <w:p w14:paraId="483B6746" w14:textId="77777777" w:rsidR="003C719A" w:rsidRPr="003C719A" w:rsidRDefault="003C719A" w:rsidP="003C719A">
      <w:pPr>
        <w:pStyle w:val="NormalWeb"/>
        <w:rPr>
          <w:rFonts w:ascii="Gilroy" w:hAnsi="Gilroy"/>
          <w:sz w:val="22"/>
          <w:szCs w:val="22"/>
          <w:lang w:val="es-UY"/>
        </w:rPr>
      </w:pPr>
      <w:r w:rsidRPr="003C719A">
        <w:rPr>
          <w:rFonts w:ascii="Gilroy" w:hAnsi="Gilroy"/>
          <w:sz w:val="22"/>
          <w:szCs w:val="22"/>
          <w:lang w:val="es-UY"/>
        </w:rPr>
        <w:t>Este ranking reconoce a las organizaciones que están marcando la diferencia para las nuevas generaciones, creando experiencias laborales excepcionales basadas en la confianza, el respeto y las oportunidades de crecimiento.</w:t>
      </w:r>
    </w:p>
    <w:p w14:paraId="29F5CBC9" w14:textId="77777777" w:rsidR="003C719A" w:rsidRPr="003C719A" w:rsidRDefault="003C719A" w:rsidP="003C719A">
      <w:pPr>
        <w:pStyle w:val="NormalWeb"/>
        <w:rPr>
          <w:rFonts w:ascii="Gilroy" w:hAnsi="Gilroy"/>
          <w:sz w:val="22"/>
          <w:szCs w:val="22"/>
          <w:lang w:val="es-UY"/>
        </w:rPr>
      </w:pPr>
      <w:r w:rsidRPr="003C719A">
        <w:rPr>
          <w:rFonts w:ascii="Gilroy" w:hAnsi="Gilroy"/>
          <w:sz w:val="22"/>
          <w:szCs w:val="22"/>
          <w:lang w:val="es-UY"/>
        </w:rPr>
        <w:t>Las empresas que forman parte de esta edición han demostrado que es posible construir culturas donde las personas se sienten escuchadas, valoradas e inspiradas a dar lo mejor de sí cada día. A través de liderazgos cercanos, valores sólidos y un compromiso genuino con sus equipos, han logrado convertirse en referentes para los jóvenes que buscan desarrollarse en entornos positivos y desafiantes.</w:t>
      </w:r>
    </w:p>
    <w:p w14:paraId="5597B250" w14:textId="77777777" w:rsidR="003C719A" w:rsidRPr="003C719A" w:rsidRDefault="003C719A" w:rsidP="003C719A">
      <w:pPr>
        <w:pStyle w:val="NormalWeb"/>
        <w:rPr>
          <w:rFonts w:ascii="Gilroy" w:hAnsi="Gilroy"/>
          <w:sz w:val="22"/>
          <w:szCs w:val="22"/>
          <w:lang w:val="es-UY"/>
        </w:rPr>
      </w:pPr>
      <w:r w:rsidRPr="003C719A">
        <w:rPr>
          <w:rFonts w:ascii="Gilroy" w:hAnsi="Gilroy"/>
          <w:sz w:val="22"/>
          <w:szCs w:val="22"/>
          <w:lang w:val="es-UY"/>
        </w:rPr>
        <w:t>Son organizaciones que promueven el bienestar, impulsan la inclusión y afrontan los cambios con resiliencia y capacidad de adaptación. Empresas que entienden que su mayor fortaleza está en las personas y que trabajan continuamente para construir lugares donde todos puedan crecer y alcanzar su máximo potencial.</w:t>
      </w:r>
    </w:p>
    <w:p w14:paraId="37A08E2A" w14:textId="77777777" w:rsidR="003C719A" w:rsidRPr="003C719A" w:rsidRDefault="003C719A" w:rsidP="003C719A">
      <w:pPr>
        <w:pStyle w:val="NormalWeb"/>
        <w:rPr>
          <w:rFonts w:ascii="Gilroy" w:hAnsi="Gilroy"/>
          <w:sz w:val="22"/>
          <w:szCs w:val="22"/>
          <w:lang w:val="es-UY"/>
        </w:rPr>
      </w:pPr>
      <w:r w:rsidRPr="003C719A">
        <w:rPr>
          <w:rFonts w:ascii="Gilroy" w:hAnsi="Gilroy"/>
          <w:sz w:val="22"/>
          <w:szCs w:val="22"/>
          <w:lang w:val="es-UY"/>
        </w:rPr>
        <w:t xml:space="preserve">El ranking </w:t>
      </w:r>
      <w:r w:rsidRPr="003C719A">
        <w:rPr>
          <w:rFonts w:ascii="Gilroy" w:hAnsi="Gilroy"/>
          <w:b/>
          <w:bCs/>
          <w:sz w:val="22"/>
          <w:szCs w:val="22"/>
          <w:lang w:val="es-UY"/>
        </w:rPr>
        <w:t>Los Mejores Lugares para Trabajar™ para Jóvenes en Uruguay 2025</w:t>
      </w:r>
      <w:r w:rsidRPr="003C719A">
        <w:rPr>
          <w:rFonts w:ascii="Gilroy" w:hAnsi="Gilroy"/>
          <w:sz w:val="22"/>
          <w:szCs w:val="22"/>
          <w:lang w:val="es-UY"/>
        </w:rPr>
        <w:t xml:space="preserve"> está integrado por 20 organizaciones, distribuidas en tres categorías: hasta 50 colaboradores, de 51 a 300 colaboradores y más de 301 colaboradores.</w:t>
      </w:r>
    </w:p>
    <w:p w14:paraId="257AB8B3" w14:textId="77777777" w:rsidR="003C719A" w:rsidRPr="003C719A" w:rsidRDefault="003C719A" w:rsidP="003C719A">
      <w:pPr>
        <w:pStyle w:val="NormalWeb"/>
        <w:rPr>
          <w:rFonts w:ascii="Gilroy" w:hAnsi="Gilroy"/>
          <w:sz w:val="22"/>
          <w:szCs w:val="22"/>
          <w:lang w:val="es-UY"/>
        </w:rPr>
      </w:pPr>
      <w:r w:rsidRPr="003C719A">
        <w:rPr>
          <w:rFonts w:ascii="Gilroy" w:hAnsi="Gilroy"/>
          <w:sz w:val="22"/>
          <w:szCs w:val="22"/>
          <w:lang w:val="es-UY"/>
        </w:rPr>
        <w:t xml:space="preserve">Formar parte de este ranking de </w:t>
      </w:r>
      <w:r w:rsidRPr="003C719A">
        <w:rPr>
          <w:rFonts w:ascii="Gilroy" w:hAnsi="Gilroy"/>
          <w:b/>
          <w:bCs/>
          <w:sz w:val="22"/>
          <w:szCs w:val="22"/>
          <w:lang w:val="es-UY"/>
        </w:rPr>
        <w:t>Great Place to Work®</w:t>
      </w:r>
      <w:r w:rsidRPr="003C719A">
        <w:rPr>
          <w:rFonts w:ascii="Gilroy" w:hAnsi="Gilroy"/>
          <w:sz w:val="22"/>
          <w:szCs w:val="22"/>
          <w:lang w:val="es-UY"/>
        </w:rPr>
        <w:t xml:space="preserve"> es mucho más que recibir un reconocimiento. Es la confirmación de que los colaboradores viven una experiencia laboral positiva y sienten orgullo por el lugar donde trabajan. Es un logro que celebra el compromiso de toda la organización con la construcción de una cultura de confianza y que inspira a seguir construyendo un futuro lleno de oportunidades, crecimiento y bienestar para todos.</w:t>
      </w:r>
    </w:p>
    <w:p w14:paraId="1D1BEC93" w14:textId="77777777" w:rsidR="00DC5032" w:rsidRPr="001C424D" w:rsidRDefault="007D0774" w:rsidP="007D0774">
      <w:pPr>
        <w:pStyle w:val="NormalWeb"/>
        <w:rPr>
          <w:rFonts w:ascii="Gilroy" w:hAnsi="Gilroy"/>
          <w:color w:val="ED7D31" w:themeColor="accent2"/>
          <w:sz w:val="22"/>
          <w:szCs w:val="22"/>
        </w:rPr>
      </w:pPr>
      <w:r w:rsidRPr="001C424D">
        <w:rPr>
          <w:rFonts w:ascii="Gilroy" w:hAnsi="Gilroy"/>
          <w:b/>
          <w:bCs/>
          <w:color w:val="ED7D31" w:themeColor="accent2"/>
          <w:sz w:val="22"/>
          <w:szCs w:val="22"/>
        </w:rPr>
        <w:t>¿Cómo determinamos desde Great Place to Work las organizaciones que forman parte de esta lista?</w:t>
      </w:r>
      <w:r w:rsidRPr="001C424D">
        <w:rPr>
          <w:rFonts w:ascii="Gilroy" w:hAnsi="Gilroy"/>
          <w:color w:val="ED7D31" w:themeColor="accent2"/>
          <w:sz w:val="22"/>
          <w:szCs w:val="22"/>
        </w:rPr>
        <w:t xml:space="preserve"> </w:t>
      </w:r>
    </w:p>
    <w:p w14:paraId="493B6668" w14:textId="54F35E3E" w:rsidR="007D0774" w:rsidRPr="007D0774" w:rsidRDefault="007D0774" w:rsidP="007D0774">
      <w:pPr>
        <w:pStyle w:val="NormalWeb"/>
        <w:rPr>
          <w:rFonts w:ascii="Gilroy" w:hAnsi="Gilroy"/>
          <w:color w:val="000000"/>
          <w:sz w:val="22"/>
          <w:szCs w:val="22"/>
        </w:rPr>
      </w:pPr>
      <w:r w:rsidRPr="007D0774">
        <w:rPr>
          <w:rFonts w:ascii="Gilroy" w:hAnsi="Gilroy"/>
          <w:color w:val="000000"/>
          <w:sz w:val="22"/>
          <w:szCs w:val="22"/>
        </w:rPr>
        <w:t xml:space="preserve">Analizamos la experiencia de los colaboradores </w:t>
      </w:r>
      <w:r w:rsidR="00DC5032">
        <w:rPr>
          <w:rFonts w:ascii="Gilroy" w:hAnsi="Gilroy"/>
          <w:color w:val="000000"/>
          <w:sz w:val="22"/>
          <w:szCs w:val="22"/>
        </w:rPr>
        <w:t xml:space="preserve">respecto a </w:t>
      </w:r>
      <w:r w:rsidRPr="007D0774">
        <w:rPr>
          <w:rFonts w:ascii="Gilroy" w:hAnsi="Gilroy"/>
          <w:color w:val="000000"/>
          <w:sz w:val="22"/>
          <w:szCs w:val="22"/>
        </w:rPr>
        <w:t xml:space="preserve">sus lugares de </w:t>
      </w:r>
      <w:r w:rsidR="009C50D2" w:rsidRPr="007D0774">
        <w:rPr>
          <w:rFonts w:ascii="Gilroy" w:hAnsi="Gilroy"/>
          <w:color w:val="000000"/>
          <w:sz w:val="22"/>
          <w:szCs w:val="22"/>
        </w:rPr>
        <w:t>trabajo,</w:t>
      </w:r>
      <w:r w:rsidR="00DC5032">
        <w:rPr>
          <w:rFonts w:ascii="Gilroy" w:hAnsi="Gilroy"/>
          <w:color w:val="000000"/>
          <w:sz w:val="22"/>
          <w:szCs w:val="22"/>
        </w:rPr>
        <w:t xml:space="preserve"> teniendo en cuenta el</w:t>
      </w:r>
      <w:r w:rsidRPr="007D0774">
        <w:rPr>
          <w:rFonts w:ascii="Gilroy" w:hAnsi="Gilroy"/>
          <w:color w:val="000000"/>
          <w:sz w:val="22"/>
          <w:szCs w:val="22"/>
        </w:rPr>
        <w:t xml:space="preserve"> tamaño de cada organización, la composición de la fuerza laboral y lo que es típico en su industria.</w:t>
      </w:r>
    </w:p>
    <w:p w14:paraId="06D47741" w14:textId="77777777" w:rsidR="007D0774" w:rsidRDefault="007D0774" w:rsidP="007D0774">
      <w:pPr>
        <w:pStyle w:val="NormalWeb"/>
        <w:rPr>
          <w:rFonts w:ascii="Gilroy" w:hAnsi="Gilroy"/>
          <w:color w:val="000000"/>
          <w:sz w:val="22"/>
          <w:szCs w:val="22"/>
        </w:rPr>
      </w:pPr>
      <w:r w:rsidRPr="007D0774">
        <w:rPr>
          <w:rFonts w:ascii="Gilroy" w:hAnsi="Gilroy"/>
          <w:color w:val="000000"/>
          <w:sz w:val="22"/>
          <w:szCs w:val="22"/>
        </w:rPr>
        <w:lastRenderedPageBreak/>
        <w:t>Los empleados respondieron las 60 preguntas que componen la encuesta y que describen hasta qué punto su organización crea un gran lugar para trabajar para todos.</w:t>
      </w:r>
    </w:p>
    <w:p w14:paraId="5B6C7972" w14:textId="3768F8E2" w:rsidR="00176755" w:rsidRPr="0095452D" w:rsidRDefault="00176755" w:rsidP="00176755">
      <w:pPr>
        <w:rPr>
          <w:rFonts w:ascii="Gilroy" w:eastAsia="Times New Roman" w:hAnsi="Gilroy" w:cs="Times New Roman"/>
          <w:color w:val="000000"/>
          <w:lang w:eastAsia="es-419"/>
        </w:rPr>
      </w:pPr>
      <w:r>
        <w:rPr>
          <w:rFonts w:ascii="Gilroy-Medium" w:hAnsi="Gilroy-Medium"/>
          <w:color w:val="111111"/>
          <w:spacing w:val="-3"/>
          <w:shd w:val="clear" w:color="auto" w:fill="FFFFFF"/>
        </w:rPr>
        <w:t>El puntaje total que recibe la empresa se conforma de lo que obtienen en los 5 componentes del Modelo:</w:t>
      </w:r>
      <w:r>
        <w:rPr>
          <w:rFonts w:ascii="Calibri" w:hAnsi="Calibri" w:cs="Calibri"/>
          <w:color w:val="111111"/>
          <w:spacing w:val="-3"/>
          <w:shd w:val="clear" w:color="auto" w:fill="FFFFFF"/>
        </w:rPr>
        <w:t> </w:t>
      </w:r>
      <w:r>
        <w:rPr>
          <w:rStyle w:val="Fuerte"/>
          <w:rFonts w:ascii="Gilroy-Medium" w:hAnsi="Gilroy-Medium"/>
          <w:color w:val="111111"/>
          <w:spacing w:val="-3"/>
          <w:shd w:val="clear" w:color="auto" w:fill="FFFFFF"/>
        </w:rPr>
        <w:t>Confianza, Maximizar el Potencial Humano, Valores, Liderazgo e Innovación</w:t>
      </w:r>
      <w:r>
        <w:rPr>
          <w:rFonts w:ascii="Gilroy-Medium" w:hAnsi="Gilroy-Medium"/>
          <w:color w:val="111111"/>
          <w:spacing w:val="-3"/>
          <w:shd w:val="clear" w:color="auto" w:fill="FFFFFF"/>
        </w:rPr>
        <w:t xml:space="preserve">. </w:t>
      </w:r>
      <w:r w:rsidRPr="0095452D">
        <w:rPr>
          <w:rFonts w:ascii="Gilroy" w:eastAsia="Times New Roman" w:hAnsi="Gilroy" w:cs="Times New Roman"/>
          <w:color w:val="000000"/>
          <w:lang w:eastAsia="es-419"/>
        </w:rPr>
        <w:t>Cada uno de estos elementos está compuesto por determinadas sentencias del cuestionario.</w:t>
      </w:r>
      <w:r w:rsidRPr="0095452D">
        <w:rPr>
          <w:rFonts w:ascii="Calibri" w:eastAsia="Times New Roman" w:hAnsi="Calibri" w:cs="Calibri"/>
          <w:color w:val="000000"/>
          <w:lang w:eastAsia="es-419"/>
        </w:rPr>
        <w:t> </w:t>
      </w:r>
      <w:r w:rsidRPr="0095452D">
        <w:rPr>
          <w:rFonts w:ascii="Gilroy" w:eastAsia="Times New Roman" w:hAnsi="Gilroy" w:cs="Times New Roman"/>
          <w:color w:val="000000"/>
          <w:lang w:eastAsia="es-419"/>
        </w:rPr>
        <w:br/>
      </w:r>
      <w:r w:rsidRPr="0095452D">
        <w:rPr>
          <w:rFonts w:ascii="Gilroy" w:eastAsia="Times New Roman" w:hAnsi="Gilroy" w:cs="Times New Roman"/>
          <w:color w:val="000000"/>
          <w:lang w:eastAsia="es-419"/>
        </w:rPr>
        <w:br/>
        <w:t>Este mismo análisis se replica para el colectivo específico de</w:t>
      </w:r>
      <w:r w:rsidR="0095452D" w:rsidRPr="0095452D">
        <w:rPr>
          <w:rFonts w:ascii="Gilroy" w:eastAsia="Times New Roman" w:hAnsi="Gilroy" w:cs="Times New Roman"/>
          <w:color w:val="000000"/>
          <w:lang w:eastAsia="es-419"/>
        </w:rPr>
        <w:t xml:space="preserve"> </w:t>
      </w:r>
      <w:r w:rsidR="007C54C2">
        <w:rPr>
          <w:rFonts w:ascii="Gilroy" w:eastAsia="Times New Roman" w:hAnsi="Gilroy" w:cs="Times New Roman"/>
          <w:color w:val="000000"/>
          <w:lang w:eastAsia="es-419"/>
        </w:rPr>
        <w:t>Jóvenes</w:t>
      </w:r>
      <w:r w:rsidRPr="0095452D">
        <w:rPr>
          <w:rFonts w:ascii="Gilroy" w:eastAsia="Times New Roman" w:hAnsi="Gilroy" w:cs="Times New Roman"/>
          <w:color w:val="000000"/>
          <w:lang w:eastAsia="es-419"/>
        </w:rPr>
        <w:t xml:space="preserve">, entendiendo por </w:t>
      </w:r>
      <w:r w:rsidR="007C54C2">
        <w:rPr>
          <w:rFonts w:ascii="Gilroy" w:eastAsia="Times New Roman" w:hAnsi="Gilroy" w:cs="Times New Roman"/>
          <w:color w:val="000000"/>
          <w:lang w:eastAsia="es-419"/>
        </w:rPr>
        <w:t>jóvenes</w:t>
      </w:r>
      <w:r w:rsidRPr="0095452D">
        <w:rPr>
          <w:rFonts w:ascii="Gilroy" w:eastAsia="Times New Roman" w:hAnsi="Gilroy" w:cs="Times New Roman"/>
          <w:color w:val="000000"/>
          <w:lang w:eastAsia="es-419"/>
        </w:rPr>
        <w:t xml:space="preserve"> a aquellas personas que tienen</w:t>
      </w:r>
      <w:r w:rsidRPr="0095452D">
        <w:rPr>
          <w:rFonts w:ascii="Calibri" w:eastAsia="Times New Roman" w:hAnsi="Calibri" w:cs="Calibri"/>
          <w:color w:val="000000"/>
          <w:lang w:eastAsia="es-419"/>
        </w:rPr>
        <w:t> </w:t>
      </w:r>
      <w:r w:rsidR="007C54C2">
        <w:rPr>
          <w:rFonts w:ascii="Gilroy" w:eastAsia="Times New Roman" w:hAnsi="Gilroy" w:cs="Times New Roman"/>
          <w:color w:val="000000"/>
          <w:lang w:eastAsia="es-419"/>
        </w:rPr>
        <w:t>24</w:t>
      </w:r>
      <w:r w:rsidRPr="0095452D">
        <w:rPr>
          <w:rFonts w:ascii="Gilroy" w:eastAsia="Times New Roman" w:hAnsi="Gilroy" w:cs="Times New Roman"/>
          <w:color w:val="000000"/>
          <w:lang w:eastAsia="es-419"/>
        </w:rPr>
        <w:t xml:space="preserve"> años o m</w:t>
      </w:r>
      <w:r w:rsidR="007C54C2">
        <w:rPr>
          <w:rFonts w:ascii="Gilroy" w:eastAsia="Times New Roman" w:hAnsi="Gilroy" w:cs="Times New Roman"/>
          <w:color w:val="000000"/>
          <w:lang w:eastAsia="es-419"/>
        </w:rPr>
        <w:t>enos</w:t>
      </w:r>
      <w:r w:rsidRPr="0095452D">
        <w:rPr>
          <w:rFonts w:ascii="Gilroy" w:eastAsia="Times New Roman" w:hAnsi="Gilroy" w:cs="Times New Roman"/>
          <w:color w:val="000000"/>
          <w:lang w:eastAsia="es-419"/>
        </w:rPr>
        <w:t>.</w:t>
      </w:r>
      <w:r w:rsidRPr="0095452D">
        <w:rPr>
          <w:rFonts w:ascii="Calibri" w:eastAsia="Times New Roman" w:hAnsi="Calibri" w:cs="Calibri"/>
          <w:color w:val="000000"/>
          <w:lang w:eastAsia="es-419"/>
        </w:rPr>
        <w:t> </w:t>
      </w:r>
    </w:p>
    <w:p w14:paraId="11C9E2A3" w14:textId="67903F92" w:rsidR="00161F5F" w:rsidRPr="0095452D" w:rsidRDefault="00161F5F" w:rsidP="00161F5F">
      <w:pPr>
        <w:pStyle w:val="NormalWeb"/>
        <w:shd w:val="clear" w:color="auto" w:fill="FFFFFF"/>
        <w:spacing w:before="0" w:beforeAutospacing="0" w:after="150" w:afterAutospacing="0"/>
        <w:rPr>
          <w:rFonts w:ascii="Gilroy" w:hAnsi="Gilroy"/>
          <w:color w:val="000000"/>
          <w:sz w:val="22"/>
          <w:szCs w:val="22"/>
        </w:rPr>
      </w:pPr>
      <w:r w:rsidRPr="0095452D">
        <w:rPr>
          <w:rFonts w:ascii="Gilroy" w:hAnsi="Gilroy"/>
          <w:b/>
          <w:bCs/>
          <w:color w:val="000000"/>
        </w:rPr>
        <w:t>Los criterios de elegibilidad</w:t>
      </w:r>
      <w:r w:rsidRPr="0095452D">
        <w:rPr>
          <w:rFonts w:ascii="Calibri" w:hAnsi="Calibri" w:cs="Calibri"/>
          <w:color w:val="000000"/>
          <w:sz w:val="22"/>
          <w:szCs w:val="22"/>
        </w:rPr>
        <w:t> </w:t>
      </w:r>
      <w:r w:rsidRPr="0095452D">
        <w:rPr>
          <w:rFonts w:ascii="Gilroy" w:hAnsi="Gilroy"/>
          <w:color w:val="000000"/>
          <w:sz w:val="22"/>
          <w:szCs w:val="22"/>
        </w:rPr>
        <w:t xml:space="preserve">para participar del ranking de Los Mejores Lugares para Trabajar para </w:t>
      </w:r>
      <w:r w:rsidR="007C54C2">
        <w:rPr>
          <w:rFonts w:ascii="Gilroy" w:hAnsi="Gilroy"/>
          <w:color w:val="000000"/>
          <w:sz w:val="22"/>
          <w:szCs w:val="22"/>
        </w:rPr>
        <w:t>Jóvenes</w:t>
      </w:r>
      <w:r w:rsidRPr="0095452D">
        <w:rPr>
          <w:rFonts w:ascii="Gilroy" w:hAnsi="Gilroy"/>
          <w:color w:val="000000"/>
          <w:sz w:val="22"/>
          <w:szCs w:val="22"/>
        </w:rPr>
        <w:t xml:space="preserve"> son:</w:t>
      </w:r>
    </w:p>
    <w:p w14:paraId="090839DF" w14:textId="07D4A9D7" w:rsidR="00161F5F" w:rsidRPr="00161F5F" w:rsidRDefault="00161F5F" w:rsidP="00161F5F">
      <w:pPr>
        <w:pStyle w:val="NormalWeb"/>
        <w:shd w:val="clear" w:color="auto" w:fill="FFFFFF"/>
        <w:spacing w:before="0" w:beforeAutospacing="0" w:after="150" w:afterAutospacing="0"/>
        <w:rPr>
          <w:rFonts w:ascii="Gilroy" w:hAnsi="Gilroy"/>
          <w:color w:val="000000"/>
          <w:sz w:val="22"/>
          <w:szCs w:val="22"/>
        </w:rPr>
      </w:pPr>
      <w:r w:rsidRPr="00161F5F">
        <w:rPr>
          <w:rFonts w:ascii="Gilroy" w:hAnsi="Gilroy"/>
          <w:color w:val="000000"/>
          <w:sz w:val="22"/>
          <w:szCs w:val="22"/>
        </w:rPr>
        <w:t>- Que la empresa posea, como mínimo, un</w:t>
      </w:r>
      <w:r w:rsidRPr="00161F5F">
        <w:rPr>
          <w:rFonts w:ascii="Calibri" w:hAnsi="Calibri" w:cs="Calibri"/>
          <w:color w:val="000000"/>
          <w:sz w:val="22"/>
          <w:szCs w:val="22"/>
        </w:rPr>
        <w:t> </w:t>
      </w:r>
      <w:r w:rsidR="0030566F">
        <w:rPr>
          <w:rFonts w:ascii="Gilroy" w:hAnsi="Gilroy"/>
          <w:b/>
          <w:bCs/>
          <w:color w:val="000000"/>
          <w:sz w:val="22"/>
          <w:szCs w:val="22"/>
        </w:rPr>
        <w:t>15</w:t>
      </w:r>
      <w:r w:rsidRPr="00161F5F">
        <w:rPr>
          <w:rFonts w:ascii="Gilroy" w:hAnsi="Gilroy"/>
          <w:b/>
          <w:bCs/>
          <w:color w:val="000000"/>
          <w:sz w:val="22"/>
          <w:szCs w:val="22"/>
        </w:rPr>
        <w:t xml:space="preserve">% de dotación de </w:t>
      </w:r>
      <w:r w:rsidR="007C54C2">
        <w:rPr>
          <w:rFonts w:ascii="Gilroy" w:hAnsi="Gilroy"/>
          <w:b/>
          <w:bCs/>
          <w:color w:val="000000"/>
          <w:sz w:val="22"/>
          <w:szCs w:val="22"/>
        </w:rPr>
        <w:t>jóvenes</w:t>
      </w:r>
      <w:r w:rsidRPr="00161F5F">
        <w:rPr>
          <w:rFonts w:ascii="Calibri" w:hAnsi="Calibri" w:cs="Calibri"/>
          <w:color w:val="000000"/>
          <w:sz w:val="20"/>
          <w:szCs w:val="20"/>
        </w:rPr>
        <w:t> </w:t>
      </w:r>
      <w:r w:rsidRPr="00161F5F">
        <w:rPr>
          <w:rFonts w:ascii="Gilroy" w:hAnsi="Gilroy"/>
          <w:color w:val="000000"/>
          <w:sz w:val="22"/>
          <w:szCs w:val="22"/>
        </w:rPr>
        <w:t>en la composición de su dotación.</w:t>
      </w:r>
    </w:p>
    <w:p w14:paraId="1BA0CB66" w14:textId="58FB0D60" w:rsidR="00161F5F" w:rsidRPr="00161F5F" w:rsidRDefault="00161F5F" w:rsidP="00161F5F">
      <w:pPr>
        <w:pStyle w:val="NormalWeb"/>
        <w:shd w:val="clear" w:color="auto" w:fill="FFFFFF"/>
        <w:spacing w:before="0" w:beforeAutospacing="0" w:after="150" w:afterAutospacing="0"/>
        <w:rPr>
          <w:rFonts w:ascii="Gilroy-Medium" w:hAnsi="Gilroy-Medium"/>
          <w:color w:val="111111"/>
          <w:spacing w:val="-3"/>
          <w:sz w:val="22"/>
          <w:szCs w:val="22"/>
        </w:rPr>
      </w:pPr>
      <w:r w:rsidRPr="00161F5F">
        <w:rPr>
          <w:rFonts w:ascii="Gilroy-Medium" w:hAnsi="Gilroy-Medium"/>
          <w:color w:val="111111"/>
          <w:spacing w:val="-3"/>
          <w:sz w:val="22"/>
          <w:szCs w:val="22"/>
        </w:rPr>
        <w:t xml:space="preserve">- </w:t>
      </w:r>
      <w:r w:rsidR="0095452D" w:rsidRPr="00161F5F">
        <w:rPr>
          <w:rFonts w:ascii="Gilroy-Medium" w:hAnsi="Gilroy-Medium"/>
          <w:color w:val="111111"/>
          <w:spacing w:val="-3"/>
          <w:sz w:val="22"/>
          <w:szCs w:val="22"/>
        </w:rPr>
        <w:t>Que,</w:t>
      </w:r>
      <w:r w:rsidR="00B61D20">
        <w:rPr>
          <w:rFonts w:ascii="Gilroy-Medium" w:hAnsi="Gilroy-Medium"/>
          <w:color w:val="111111"/>
          <w:spacing w:val="-3"/>
          <w:sz w:val="22"/>
          <w:szCs w:val="22"/>
        </w:rPr>
        <w:t xml:space="preserve"> </w:t>
      </w:r>
      <w:r w:rsidRPr="00161F5F">
        <w:rPr>
          <w:rFonts w:ascii="Gilroy-Medium" w:hAnsi="Gilroy-Medium"/>
          <w:color w:val="111111"/>
          <w:spacing w:val="-3"/>
          <w:sz w:val="22"/>
          <w:szCs w:val="22"/>
        </w:rPr>
        <w:t xml:space="preserve">tanto en el total de los respondientes como en la demografía de </w:t>
      </w:r>
      <w:r w:rsidR="0095452D">
        <w:rPr>
          <w:rFonts w:ascii="Gilroy-Medium" w:hAnsi="Gilroy-Medium"/>
          <w:color w:val="111111"/>
          <w:spacing w:val="-3"/>
          <w:sz w:val="22"/>
          <w:szCs w:val="22"/>
        </w:rPr>
        <w:t>seniors</w:t>
      </w:r>
      <w:r w:rsidRPr="00161F5F">
        <w:rPr>
          <w:rFonts w:ascii="Gilroy-Medium" w:hAnsi="Gilroy-Medium"/>
          <w:color w:val="111111"/>
          <w:spacing w:val="-3"/>
          <w:sz w:val="22"/>
          <w:szCs w:val="22"/>
        </w:rPr>
        <w:t>, el Trust Index© (encuesta de clima laboral) alcance como</w:t>
      </w:r>
      <w:r w:rsidRPr="00161F5F">
        <w:rPr>
          <w:rFonts w:ascii="Calibri" w:hAnsi="Calibri" w:cs="Calibri"/>
          <w:color w:val="111111"/>
          <w:spacing w:val="-3"/>
          <w:sz w:val="22"/>
          <w:szCs w:val="22"/>
        </w:rPr>
        <w:t> </w:t>
      </w:r>
      <w:r w:rsidRPr="00161F5F">
        <w:rPr>
          <w:rStyle w:val="Fuerte"/>
          <w:rFonts w:ascii="Gilroy-Medium" w:hAnsi="Gilroy-Medium"/>
          <w:color w:val="111111"/>
          <w:spacing w:val="-3"/>
          <w:sz w:val="22"/>
          <w:szCs w:val="22"/>
        </w:rPr>
        <w:t>mínimo 70 puntos</w:t>
      </w:r>
      <w:r w:rsidRPr="00161F5F">
        <w:rPr>
          <w:rFonts w:ascii="Calibri" w:hAnsi="Calibri" w:cs="Calibri"/>
          <w:color w:val="111111"/>
          <w:spacing w:val="-3"/>
          <w:sz w:val="22"/>
          <w:szCs w:val="22"/>
        </w:rPr>
        <w:t> </w:t>
      </w:r>
      <w:r w:rsidRPr="00161F5F">
        <w:rPr>
          <w:rFonts w:ascii="Gilroy-Medium" w:hAnsi="Gilroy-Medium"/>
          <w:color w:val="111111"/>
          <w:spacing w:val="-3"/>
          <w:sz w:val="22"/>
          <w:szCs w:val="22"/>
        </w:rPr>
        <w:t>porcentuales de percepción positiva.</w:t>
      </w:r>
    </w:p>
    <w:p w14:paraId="61D345F4" w14:textId="1B94E52F" w:rsidR="00BD7359" w:rsidRPr="007C54C2" w:rsidRDefault="007D0774" w:rsidP="00BD7359">
      <w:pPr>
        <w:rPr>
          <w:rFonts w:ascii="Gilroy" w:hAnsi="Gilroy"/>
          <w:color w:val="FF0000"/>
        </w:rPr>
      </w:pPr>
      <w:r w:rsidRPr="007C54C2">
        <w:rPr>
          <w:rFonts w:ascii="Gilroy" w:hAnsi="Gilroy"/>
          <w:color w:val="FF0000"/>
        </w:rPr>
        <w:t>Los grandes lugares para trabajar son mejores para los Negocios, mejores para las Personas y mejores para el Mundo.</w:t>
      </w:r>
    </w:p>
    <w:p w14:paraId="3E4A8B40" w14:textId="77777777" w:rsidR="009C50D2" w:rsidRPr="007D0774" w:rsidRDefault="009C50D2" w:rsidP="009C50D2">
      <w:pPr>
        <w:rPr>
          <w:rFonts w:ascii="Gilroy" w:hAnsi="Gilroy"/>
        </w:rPr>
      </w:pPr>
      <w:r w:rsidRPr="007D0774">
        <w:rPr>
          <w:rFonts w:ascii="Gilroy" w:hAnsi="Gilroy"/>
        </w:rPr>
        <w:t>…………………………….</w:t>
      </w:r>
    </w:p>
    <w:p w14:paraId="3A2902BB" w14:textId="77777777" w:rsidR="007D0774" w:rsidRPr="007D0774" w:rsidRDefault="007D0774" w:rsidP="00BD7359">
      <w:pPr>
        <w:rPr>
          <w:rFonts w:ascii="Gilroy" w:hAnsi="Gilroy"/>
        </w:rPr>
      </w:pPr>
    </w:p>
    <w:p w14:paraId="012F946F" w14:textId="46485B5A" w:rsidR="00BD7359" w:rsidRPr="007D0774" w:rsidRDefault="008D79A2" w:rsidP="00BD7359">
      <w:pPr>
        <w:rPr>
          <w:rFonts w:ascii="Gilroy" w:hAnsi="Gilroy"/>
        </w:rPr>
      </w:pPr>
      <w:r w:rsidRPr="007D0774">
        <w:rPr>
          <w:rFonts w:ascii="Gilroy" w:hAnsi="Gilroy"/>
        </w:rPr>
        <w:t xml:space="preserve">Agregar </w:t>
      </w:r>
      <w:r w:rsidR="00BD7359" w:rsidRPr="007D0774">
        <w:rPr>
          <w:rFonts w:ascii="Gilroy" w:hAnsi="Gilroy"/>
          <w:highlight w:val="lightGray"/>
        </w:rPr>
        <w:t>COMPAÑIA X Estadísticas/Comentarios de los empleados</w:t>
      </w:r>
      <w:r w:rsidR="00BD7359" w:rsidRPr="007D0774">
        <w:rPr>
          <w:rFonts w:ascii="Gilroy" w:hAnsi="Gilroy"/>
        </w:rPr>
        <w:t xml:space="preserve"> acerca de por qué la empresa es un Gran Lugar para Trabajar. </w:t>
      </w:r>
    </w:p>
    <w:p w14:paraId="195E244B" w14:textId="305739A7" w:rsidR="00BD7359" w:rsidRPr="007D0774" w:rsidRDefault="008D79A2" w:rsidP="00BD7359">
      <w:pPr>
        <w:rPr>
          <w:rFonts w:ascii="Gilroy" w:hAnsi="Gilroy"/>
        </w:rPr>
      </w:pPr>
      <w:r w:rsidRPr="007D0774">
        <w:rPr>
          <w:rFonts w:ascii="Gilroy" w:hAnsi="Gilroy"/>
        </w:rPr>
        <w:t>Agregar</w:t>
      </w:r>
      <w:r w:rsidRPr="007D0774">
        <w:rPr>
          <w:rFonts w:ascii="Gilroy" w:hAnsi="Gilroy"/>
          <w:highlight w:val="lightGray"/>
        </w:rPr>
        <w:t xml:space="preserve"> </w:t>
      </w:r>
      <w:r w:rsidR="00BD7359" w:rsidRPr="007D0774">
        <w:rPr>
          <w:rFonts w:ascii="Gilroy" w:hAnsi="Gilroy"/>
          <w:highlight w:val="lightGray"/>
        </w:rPr>
        <w:t>COMPAÑIA X Comentario del CEO o líder mundial de RRHH</w:t>
      </w:r>
      <w:r w:rsidR="00BD7359" w:rsidRPr="007D0774">
        <w:rPr>
          <w:rFonts w:ascii="Gilroy" w:hAnsi="Gilroy"/>
        </w:rPr>
        <w:t xml:space="preserve"> acerca de por qué la compañía es un Gran Lugar para Trabajar. </w:t>
      </w:r>
    </w:p>
    <w:p w14:paraId="4BA30D0A" w14:textId="025352DD" w:rsidR="00BD7359" w:rsidRPr="007D0774" w:rsidRDefault="008D79A2" w:rsidP="00BD7359">
      <w:pPr>
        <w:rPr>
          <w:rFonts w:ascii="Gilroy" w:hAnsi="Gilroy"/>
          <w:highlight w:val="lightGray"/>
        </w:rPr>
      </w:pPr>
      <w:r w:rsidRPr="007D0774">
        <w:rPr>
          <w:rFonts w:ascii="Gilroy" w:hAnsi="Gilroy"/>
          <w:highlight w:val="lightGray"/>
        </w:rPr>
        <w:t>Agregar información de la empresa:</w:t>
      </w:r>
    </w:p>
    <w:p w14:paraId="49381C06" w14:textId="77777777" w:rsidR="00BD7359" w:rsidRPr="007D0774" w:rsidRDefault="00BD7359" w:rsidP="00BD7359">
      <w:pPr>
        <w:rPr>
          <w:rFonts w:ascii="Gilroy" w:hAnsi="Gilroy"/>
        </w:rPr>
      </w:pPr>
      <w:r w:rsidRPr="007D0774">
        <w:rPr>
          <w:rFonts w:ascii="Gilroy" w:hAnsi="Gilroy"/>
          <w:highlight w:val="lightGray"/>
        </w:rPr>
        <w:t>Acerca de [Empresa]:</w:t>
      </w:r>
    </w:p>
    <w:p w14:paraId="49D88FDF" w14:textId="77777777" w:rsidR="00BD7359" w:rsidRPr="007D0774" w:rsidRDefault="00BD7359" w:rsidP="00BD7359">
      <w:pPr>
        <w:rPr>
          <w:rFonts w:ascii="Gilroy" w:hAnsi="Gilroy"/>
        </w:rPr>
      </w:pPr>
    </w:p>
    <w:p w14:paraId="141446C4" w14:textId="6FE53ABB" w:rsidR="00BD7359" w:rsidRPr="007D0774" w:rsidRDefault="00BD7359" w:rsidP="00BD7359">
      <w:pPr>
        <w:rPr>
          <w:rFonts w:ascii="Gilroy" w:hAnsi="Gilroy"/>
        </w:rPr>
      </w:pPr>
      <w:r w:rsidRPr="007D0774">
        <w:rPr>
          <w:rFonts w:ascii="Gilroy" w:hAnsi="Gilroy"/>
        </w:rPr>
        <w:t>…………</w:t>
      </w:r>
      <w:r w:rsidR="008D79A2" w:rsidRPr="007D0774">
        <w:rPr>
          <w:rFonts w:ascii="Gilroy" w:hAnsi="Gilroy"/>
        </w:rPr>
        <w:t>………………….</w:t>
      </w:r>
    </w:p>
    <w:p w14:paraId="68EB7E21" w14:textId="480AFAC4" w:rsidR="00BD7359" w:rsidRPr="007D0774" w:rsidRDefault="00BD7359" w:rsidP="00BD7359">
      <w:pPr>
        <w:rPr>
          <w:rFonts w:ascii="Gilroy" w:hAnsi="Gilroy"/>
        </w:rPr>
      </w:pPr>
    </w:p>
    <w:p w14:paraId="5384A6B0" w14:textId="77777777" w:rsidR="008D79A2" w:rsidRPr="007D0774" w:rsidRDefault="008D79A2" w:rsidP="00BD7359">
      <w:pPr>
        <w:rPr>
          <w:rFonts w:ascii="Gilroy" w:hAnsi="Gilroy"/>
        </w:rPr>
      </w:pPr>
    </w:p>
    <w:p w14:paraId="2D52A948" w14:textId="77777777" w:rsidR="00BD7359" w:rsidRPr="007D0774" w:rsidRDefault="00BD7359" w:rsidP="00BD7359">
      <w:pPr>
        <w:rPr>
          <w:rFonts w:ascii="Gilroy" w:hAnsi="Gilroy"/>
        </w:rPr>
      </w:pPr>
      <w:r w:rsidRPr="007D0774">
        <w:rPr>
          <w:rFonts w:ascii="Gilroy" w:hAnsi="Gilroy"/>
          <w:highlight w:val="yellow"/>
        </w:rPr>
        <w:t>Acerca de Great Place to Work®:</w:t>
      </w:r>
      <w:r w:rsidRPr="007D0774">
        <w:rPr>
          <w:rFonts w:ascii="Gilroy" w:hAnsi="Gilroy"/>
        </w:rPr>
        <w:t xml:space="preserve"> </w:t>
      </w:r>
    </w:p>
    <w:p w14:paraId="2696081B" w14:textId="1D06793C" w:rsidR="00BD7359" w:rsidRPr="007D0774" w:rsidRDefault="00BD7359" w:rsidP="00BD7359">
      <w:pPr>
        <w:rPr>
          <w:rFonts w:ascii="Gilroy" w:hAnsi="Gilroy"/>
        </w:rPr>
      </w:pPr>
      <w:r w:rsidRPr="007D0774">
        <w:rPr>
          <w:rFonts w:ascii="Gilroy" w:hAnsi="Gilroy"/>
        </w:rPr>
        <w:t xml:space="preserve">Great Place to Work® es la autoridad mundial en cultura laboral. Desde hace más de 30 años ayudamos a las organizaciones a cuantificar su cultura y producir mejores resultados comerciales creando una experiencia laboral de alta confianza para todos los empleados. </w:t>
      </w:r>
    </w:p>
    <w:p w14:paraId="64C1C434" w14:textId="77777777" w:rsidR="00BD7359" w:rsidRPr="007D0774" w:rsidRDefault="00BD7359" w:rsidP="00BD7359">
      <w:pPr>
        <w:rPr>
          <w:rFonts w:ascii="Gilroy" w:hAnsi="Gilroy"/>
        </w:rPr>
      </w:pPr>
      <w:r w:rsidRPr="007D0774">
        <w:rPr>
          <w:rFonts w:ascii="Gilroy" w:hAnsi="Gilroy"/>
        </w:rPr>
        <w:t>Emprising™, nuestra plataforma de gestión de la cultura empodera a los líderes con encuestas, informes en tiempo real y conocimientos que necesitan para tomar decisiones basadas en datos.</w:t>
      </w:r>
    </w:p>
    <w:p w14:paraId="43D33058" w14:textId="77777777" w:rsidR="007D0774" w:rsidRPr="007D0774" w:rsidRDefault="007D0774" w:rsidP="007D0774">
      <w:pPr>
        <w:pStyle w:val="NormalWeb"/>
        <w:rPr>
          <w:rFonts w:ascii="Gilroy" w:hAnsi="Gilroy"/>
          <w:color w:val="000000"/>
          <w:sz w:val="22"/>
          <w:szCs w:val="22"/>
        </w:rPr>
      </w:pPr>
      <w:r w:rsidRPr="007D0774">
        <w:rPr>
          <w:rFonts w:ascii="Gilroy" w:hAnsi="Gilroy"/>
          <w:color w:val="000000"/>
          <w:sz w:val="22"/>
          <w:szCs w:val="22"/>
        </w:rPr>
        <w:lastRenderedPageBreak/>
        <w:t>La metodología implementada en Los Mejores Lugares para Trabajar™ es única y ha sido probada por más de veinte años consecutivos de aplicación en más de 97 países. La consistencia y credibilidad lo confirman año a año las más de 10.000 organizaciones que participan y más de 10 millones de personas que han contestado nuestra encuesta.</w:t>
      </w:r>
    </w:p>
    <w:p w14:paraId="7890FB45" w14:textId="4E9AA05A" w:rsidR="00BD7359" w:rsidRPr="007D0774" w:rsidRDefault="007D0774" w:rsidP="007D0774">
      <w:pPr>
        <w:pStyle w:val="NormalWeb"/>
        <w:rPr>
          <w:rFonts w:ascii="Gilroy" w:hAnsi="Gilroy"/>
          <w:color w:val="000000"/>
          <w:sz w:val="22"/>
          <w:szCs w:val="22"/>
        </w:rPr>
      </w:pPr>
      <w:r w:rsidRPr="007D0774">
        <w:rPr>
          <w:rFonts w:ascii="Gilroy" w:hAnsi="Gilroy"/>
          <w:color w:val="000000"/>
          <w:sz w:val="22"/>
          <w:szCs w:val="22"/>
        </w:rPr>
        <w:t>Alentamos a más empresas a seguir transformándose y a desafiarse a construir grandes lugares para trabajar generando relaciones de confianza. Esa es la clave del crecimiento sustentable para sus negocios, la comunidad y el mundo.</w:t>
      </w:r>
    </w:p>
    <w:p w14:paraId="6D2B6181" w14:textId="5EE2765E" w:rsidR="00E57318" w:rsidRPr="007D0774" w:rsidRDefault="00BD7359" w:rsidP="00BD7359">
      <w:pPr>
        <w:rPr>
          <w:rFonts w:ascii="Gilroy" w:hAnsi="Gilroy"/>
        </w:rPr>
      </w:pPr>
      <w:r w:rsidRPr="007D0774">
        <w:rPr>
          <w:rFonts w:ascii="Gilroy" w:hAnsi="Gilroy"/>
        </w:rPr>
        <w:t xml:space="preserve">    </w:t>
      </w:r>
    </w:p>
    <w:sectPr w:rsidR="00E57318" w:rsidRPr="007D077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ilroy Bold">
    <w:panose1 w:val="00000800000000000000"/>
    <w:charset w:val="00"/>
    <w:family w:val="modern"/>
    <w:notTrueType/>
    <w:pitch w:val="variable"/>
    <w:sig w:usb0="00000207" w:usb1="00000000" w:usb2="00000000" w:usb3="00000000" w:csb0="00000097" w:csb1="00000000"/>
  </w:font>
  <w:font w:name="Gilroy">
    <w:panose1 w:val="00000500000000000000"/>
    <w:charset w:val="00"/>
    <w:family w:val="modern"/>
    <w:notTrueType/>
    <w:pitch w:val="variable"/>
    <w:sig w:usb0="00000207" w:usb1="00000000" w:usb2="00000000" w:usb3="00000000" w:csb0="00000097" w:csb1="00000000"/>
  </w:font>
  <w:font w:name="Gilroy-Medium"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7359"/>
    <w:rsid w:val="0000279B"/>
    <w:rsid w:val="00004388"/>
    <w:rsid w:val="000B5160"/>
    <w:rsid w:val="00161F5F"/>
    <w:rsid w:val="00176755"/>
    <w:rsid w:val="001A225B"/>
    <w:rsid w:val="001C424D"/>
    <w:rsid w:val="0030566F"/>
    <w:rsid w:val="003C2DD7"/>
    <w:rsid w:val="003C719A"/>
    <w:rsid w:val="005D35BC"/>
    <w:rsid w:val="006B5752"/>
    <w:rsid w:val="007C54C2"/>
    <w:rsid w:val="007D0774"/>
    <w:rsid w:val="008D79A2"/>
    <w:rsid w:val="00900819"/>
    <w:rsid w:val="0095452D"/>
    <w:rsid w:val="009C50D2"/>
    <w:rsid w:val="00A508BD"/>
    <w:rsid w:val="00B47CEE"/>
    <w:rsid w:val="00B61D20"/>
    <w:rsid w:val="00BD7359"/>
    <w:rsid w:val="00C84159"/>
    <w:rsid w:val="00CB6F5E"/>
    <w:rsid w:val="00DC5032"/>
    <w:rsid w:val="00DE66E3"/>
    <w:rsid w:val="00E57318"/>
    <w:rsid w:val="00EF77F3"/>
    <w:rsid w:val="00F0541D"/>
    <w:rsid w:val="00FD0F9E"/>
    <w:rsid w:val="00FD4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419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0A08A4"/>
  <w15:chartTrackingRefBased/>
  <w15:docId w15:val="{ABF319A3-17DA-425F-898E-A7EA5A8174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419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7D07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419"/>
    </w:rPr>
  </w:style>
  <w:style w:type="character" w:styleId="Fuerte">
    <w:name w:val="Strong"/>
    <w:basedOn w:val="Fuentedeprrafopredeter"/>
    <w:uiPriority w:val="22"/>
    <w:qFormat/>
    <w:rsid w:val="003C2DD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895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34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8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46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788</Words>
  <Characters>4335</Characters>
  <Application>Microsoft Office Word</Application>
  <DocSecurity>0</DocSecurity>
  <Lines>36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María Noel Sanguinetti</dc:creator>
  <cp:keywords/>
  <dc:description/>
  <cp:lastModifiedBy>María Noel Sanguinetti</cp:lastModifiedBy>
  <cp:revision>2</cp:revision>
  <cp:lastPrinted>2023-05-26T17:01:00Z</cp:lastPrinted>
  <dcterms:created xsi:type="dcterms:W3CDTF">2026-08-31T16:50:00Z</dcterms:created>
  <dcterms:modified xsi:type="dcterms:W3CDTF">2026-08-31T16:50:00Z</dcterms:modified>
</cp:coreProperties>
</file>