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645AD" w14:textId="28001F80" w:rsidR="00BD7359" w:rsidRPr="007D0774" w:rsidRDefault="008D79A2" w:rsidP="00BD7359">
      <w:pPr>
        <w:jc w:val="center"/>
        <w:rPr>
          <w:rFonts w:ascii="Gilroy Bold" w:hAnsi="Gilroy Bold"/>
          <w:sz w:val="28"/>
          <w:szCs w:val="28"/>
        </w:rPr>
      </w:pPr>
      <w:r w:rsidRPr="007D0774">
        <w:rPr>
          <w:rFonts w:ascii="Gilroy Bold" w:hAnsi="Gilroy Bold"/>
          <w:sz w:val="28"/>
          <w:szCs w:val="28"/>
        </w:rPr>
        <w:t>COMUNICADO DE PRENSA</w:t>
      </w:r>
    </w:p>
    <w:p w14:paraId="378CF7B5" w14:textId="75BABBCD" w:rsidR="00BD7359" w:rsidRPr="0095452D" w:rsidRDefault="00BD7359" w:rsidP="00BD7359">
      <w:pPr>
        <w:rPr>
          <w:rFonts w:ascii="Gilroy" w:hAnsi="Gilroy"/>
          <w:b/>
          <w:bCs/>
          <w:color w:val="4472C4" w:themeColor="accent1"/>
          <w:sz w:val="24"/>
          <w:szCs w:val="24"/>
        </w:rPr>
      </w:pPr>
      <w:r w:rsidRPr="0095452D">
        <w:rPr>
          <w:rFonts w:ascii="Gilroy" w:hAnsi="Gilroy"/>
          <w:b/>
          <w:bCs/>
          <w:color w:val="4472C4" w:themeColor="accent1"/>
          <w:sz w:val="24"/>
          <w:szCs w:val="24"/>
        </w:rPr>
        <w:t xml:space="preserve">IMPORTANTE: Esta nota de prensa no puede ser distribuida antes del </w:t>
      </w:r>
      <w:r w:rsidR="008243D2">
        <w:rPr>
          <w:rFonts w:ascii="Gilroy" w:hAnsi="Gilroy"/>
          <w:b/>
          <w:bCs/>
          <w:color w:val="4472C4" w:themeColor="accent1"/>
          <w:sz w:val="24"/>
          <w:szCs w:val="24"/>
        </w:rPr>
        <w:t>jueves</w:t>
      </w:r>
      <w:r w:rsidRPr="0095452D">
        <w:rPr>
          <w:rFonts w:ascii="Gilroy" w:hAnsi="Gilroy"/>
          <w:b/>
          <w:bCs/>
          <w:color w:val="4472C4" w:themeColor="accent1"/>
          <w:sz w:val="24"/>
          <w:szCs w:val="24"/>
        </w:rPr>
        <w:t xml:space="preserve"> </w:t>
      </w:r>
      <w:r w:rsidR="008243D2">
        <w:rPr>
          <w:rFonts w:ascii="Gilroy" w:hAnsi="Gilroy"/>
          <w:b/>
          <w:bCs/>
          <w:color w:val="4472C4" w:themeColor="accent1"/>
          <w:sz w:val="24"/>
          <w:szCs w:val="24"/>
        </w:rPr>
        <w:t>29</w:t>
      </w:r>
      <w:r w:rsidR="00B47CEE" w:rsidRPr="0095452D">
        <w:rPr>
          <w:rFonts w:ascii="Gilroy" w:hAnsi="Gilroy"/>
          <w:b/>
          <w:bCs/>
          <w:color w:val="4472C4" w:themeColor="accent1"/>
          <w:sz w:val="24"/>
          <w:szCs w:val="24"/>
        </w:rPr>
        <w:t xml:space="preserve"> </w:t>
      </w:r>
      <w:r w:rsidRPr="0095452D">
        <w:rPr>
          <w:rFonts w:ascii="Gilroy" w:hAnsi="Gilroy"/>
          <w:b/>
          <w:bCs/>
          <w:color w:val="4472C4" w:themeColor="accent1"/>
          <w:sz w:val="24"/>
          <w:szCs w:val="24"/>
        </w:rPr>
        <w:t xml:space="preserve">de </w:t>
      </w:r>
      <w:r w:rsidR="0095452D" w:rsidRPr="0095452D">
        <w:rPr>
          <w:rFonts w:ascii="Gilroy" w:hAnsi="Gilroy"/>
          <w:b/>
          <w:bCs/>
          <w:color w:val="4472C4" w:themeColor="accent1"/>
          <w:sz w:val="24"/>
          <w:szCs w:val="24"/>
        </w:rPr>
        <w:t>octubre</w:t>
      </w:r>
      <w:r w:rsidR="00B47CEE" w:rsidRPr="0095452D">
        <w:rPr>
          <w:rFonts w:ascii="Gilroy" w:hAnsi="Gilroy"/>
          <w:b/>
          <w:bCs/>
          <w:color w:val="4472C4" w:themeColor="accent1"/>
          <w:sz w:val="24"/>
          <w:szCs w:val="24"/>
        </w:rPr>
        <w:t xml:space="preserve"> </w:t>
      </w:r>
      <w:r w:rsidRPr="0095452D">
        <w:rPr>
          <w:rFonts w:ascii="Gilroy" w:hAnsi="Gilroy"/>
          <w:b/>
          <w:bCs/>
          <w:color w:val="4472C4" w:themeColor="accent1"/>
          <w:sz w:val="24"/>
          <w:szCs w:val="24"/>
        </w:rPr>
        <w:t>del 202</w:t>
      </w:r>
      <w:r w:rsidR="008243D2">
        <w:rPr>
          <w:rFonts w:ascii="Gilroy" w:hAnsi="Gilroy"/>
          <w:b/>
          <w:bCs/>
          <w:color w:val="4472C4" w:themeColor="accent1"/>
          <w:sz w:val="24"/>
          <w:szCs w:val="24"/>
        </w:rPr>
        <w:t>6</w:t>
      </w:r>
      <w:r w:rsidRPr="0095452D">
        <w:rPr>
          <w:rFonts w:ascii="Gilroy" w:hAnsi="Gilroy"/>
          <w:b/>
          <w:bCs/>
          <w:color w:val="4472C4" w:themeColor="accent1"/>
          <w:sz w:val="24"/>
          <w:szCs w:val="24"/>
        </w:rPr>
        <w:t xml:space="preserve"> a las </w:t>
      </w:r>
      <w:r w:rsidR="00B47CEE" w:rsidRPr="0095452D">
        <w:rPr>
          <w:rFonts w:ascii="Gilroy" w:hAnsi="Gilroy"/>
          <w:b/>
          <w:bCs/>
          <w:color w:val="4472C4" w:themeColor="accent1"/>
          <w:sz w:val="24"/>
          <w:szCs w:val="24"/>
        </w:rPr>
        <w:t>11</w:t>
      </w:r>
      <w:r w:rsidRPr="0095452D">
        <w:rPr>
          <w:rFonts w:ascii="Gilroy" w:hAnsi="Gilroy"/>
          <w:b/>
          <w:bCs/>
          <w:color w:val="4472C4" w:themeColor="accent1"/>
          <w:sz w:val="24"/>
          <w:szCs w:val="24"/>
        </w:rPr>
        <w:t xml:space="preserve">:00 </w:t>
      </w:r>
      <w:proofErr w:type="spellStart"/>
      <w:r w:rsidRPr="0095452D">
        <w:rPr>
          <w:rFonts w:ascii="Gilroy" w:hAnsi="Gilroy"/>
          <w:b/>
          <w:bCs/>
          <w:color w:val="4472C4" w:themeColor="accent1"/>
          <w:sz w:val="24"/>
          <w:szCs w:val="24"/>
        </w:rPr>
        <w:t>hs</w:t>
      </w:r>
      <w:proofErr w:type="spellEnd"/>
      <w:r w:rsidRPr="0095452D">
        <w:rPr>
          <w:rFonts w:ascii="Gilroy" w:hAnsi="Gilroy"/>
          <w:b/>
          <w:bCs/>
          <w:color w:val="4472C4" w:themeColor="accent1"/>
          <w:sz w:val="24"/>
          <w:szCs w:val="24"/>
        </w:rPr>
        <w:t>.</w:t>
      </w:r>
    </w:p>
    <w:p w14:paraId="601BBEB3" w14:textId="77777777" w:rsidR="00BD7359" w:rsidRPr="007D0774" w:rsidRDefault="00BD7359" w:rsidP="00BD7359">
      <w:pPr>
        <w:rPr>
          <w:rFonts w:ascii="Gilroy" w:hAnsi="Gilroy"/>
        </w:rPr>
      </w:pPr>
    </w:p>
    <w:p w14:paraId="281A04A6" w14:textId="4857C5C5" w:rsidR="00BD7359" w:rsidRDefault="00BD7359" w:rsidP="00BD7359">
      <w:pPr>
        <w:rPr>
          <w:rFonts w:ascii="Gilroy" w:hAnsi="Gilroy"/>
        </w:rPr>
      </w:pPr>
      <w:r w:rsidRPr="007D0774">
        <w:rPr>
          <w:rFonts w:ascii="Gilroy" w:hAnsi="Gilroy"/>
          <w:highlight w:val="lightGray"/>
        </w:rPr>
        <w:t>Empresa X,</w:t>
      </w:r>
      <w:r w:rsidRPr="007D0774">
        <w:rPr>
          <w:rFonts w:ascii="Gilroy" w:hAnsi="Gilroy"/>
        </w:rPr>
        <w:t xml:space="preserve"> rankeada en el puesto </w:t>
      </w:r>
      <w:r w:rsidRPr="007D0774">
        <w:rPr>
          <w:rFonts w:ascii="Gilroy" w:hAnsi="Gilroy"/>
          <w:highlight w:val="lightGray"/>
        </w:rPr>
        <w:t>[puesto]</w:t>
      </w:r>
      <w:r w:rsidRPr="007D0774">
        <w:rPr>
          <w:rFonts w:ascii="Gilroy" w:hAnsi="Gilroy"/>
        </w:rPr>
        <w:t xml:space="preserve"> del ranking Los Mejores Lugares para Trabajar™ </w:t>
      </w:r>
      <w:r w:rsidR="0000279B">
        <w:rPr>
          <w:rFonts w:ascii="Gilroy" w:hAnsi="Gilroy"/>
        </w:rPr>
        <w:t xml:space="preserve">para </w:t>
      </w:r>
      <w:r w:rsidR="0095452D">
        <w:rPr>
          <w:rFonts w:ascii="Gilroy" w:hAnsi="Gilroy"/>
        </w:rPr>
        <w:t>Seniors</w:t>
      </w:r>
      <w:r w:rsidR="003C2DD7">
        <w:rPr>
          <w:rFonts w:ascii="Gilroy" w:hAnsi="Gilroy"/>
        </w:rPr>
        <w:t xml:space="preserve"> </w:t>
      </w:r>
      <w:r w:rsidRPr="007D0774">
        <w:rPr>
          <w:rFonts w:ascii="Gilroy" w:hAnsi="Gilroy"/>
        </w:rPr>
        <w:t>en Uruguay 202</w:t>
      </w:r>
      <w:r w:rsidR="008243D2">
        <w:rPr>
          <w:rFonts w:ascii="Gilroy" w:hAnsi="Gilroy"/>
        </w:rPr>
        <w:t>6</w:t>
      </w:r>
      <w:r w:rsidRPr="007D0774">
        <w:rPr>
          <w:rFonts w:ascii="Gilroy" w:hAnsi="Gilroy"/>
        </w:rPr>
        <w:t xml:space="preserve"> por Great Place to Work®.</w:t>
      </w:r>
    </w:p>
    <w:p w14:paraId="5A91D20C" w14:textId="7F4B15EF" w:rsidR="00BD7359" w:rsidRDefault="00BD7359" w:rsidP="00BD7359">
      <w:pPr>
        <w:rPr>
          <w:rFonts w:ascii="Gilroy" w:hAnsi="Gilroy"/>
        </w:rPr>
      </w:pPr>
      <w:r w:rsidRPr="007D0774">
        <w:rPr>
          <w:rFonts w:ascii="Gilroy" w:hAnsi="Gilroy"/>
          <w:highlight w:val="lightGray"/>
        </w:rPr>
        <w:t>[Ciudad,]</w:t>
      </w:r>
      <w:r w:rsidRPr="007D0774">
        <w:rPr>
          <w:rFonts w:ascii="Gilroy" w:hAnsi="Gilroy"/>
        </w:rPr>
        <w:t xml:space="preserve"> </w:t>
      </w:r>
      <w:r w:rsidR="008243D2">
        <w:rPr>
          <w:rFonts w:ascii="Gilroy" w:hAnsi="Gilroy"/>
        </w:rPr>
        <w:t>29</w:t>
      </w:r>
      <w:r w:rsidRPr="007D0774">
        <w:rPr>
          <w:rFonts w:ascii="Gilroy" w:hAnsi="Gilroy"/>
        </w:rPr>
        <w:t xml:space="preserve"> de </w:t>
      </w:r>
      <w:r w:rsidR="0095452D">
        <w:rPr>
          <w:rFonts w:ascii="Gilroy" w:hAnsi="Gilroy"/>
        </w:rPr>
        <w:t>octubre</w:t>
      </w:r>
      <w:r w:rsidRPr="007D0774">
        <w:rPr>
          <w:rFonts w:ascii="Gilroy" w:hAnsi="Gilroy"/>
        </w:rPr>
        <w:t xml:space="preserve"> de 202</w:t>
      </w:r>
      <w:r w:rsidR="008243D2">
        <w:rPr>
          <w:rFonts w:ascii="Gilroy" w:hAnsi="Gilroy"/>
        </w:rPr>
        <w:t>6</w:t>
      </w:r>
      <w:r w:rsidRPr="007D0774">
        <w:rPr>
          <w:rFonts w:ascii="Gilroy" w:hAnsi="Gilroy"/>
        </w:rPr>
        <w:t xml:space="preserve"> – Great Place to Work®, la autoridad mundial en cultura organizacional clasifica a [</w:t>
      </w:r>
      <w:r w:rsidRPr="007D0774">
        <w:rPr>
          <w:rFonts w:ascii="Gilroy" w:hAnsi="Gilroy"/>
          <w:highlight w:val="lightGray"/>
        </w:rPr>
        <w:t>Nombre de la Empresa</w:t>
      </w:r>
      <w:r w:rsidRPr="007D0774">
        <w:rPr>
          <w:rFonts w:ascii="Gilroy" w:hAnsi="Gilroy"/>
        </w:rPr>
        <w:t xml:space="preserve">] número </w:t>
      </w:r>
      <w:r w:rsidRPr="007D0774">
        <w:rPr>
          <w:rFonts w:ascii="Gilroy" w:hAnsi="Gilroy"/>
          <w:highlight w:val="lightGray"/>
        </w:rPr>
        <w:t>[ranking]</w:t>
      </w:r>
      <w:r w:rsidRPr="007D0774">
        <w:rPr>
          <w:rFonts w:ascii="Gilroy" w:hAnsi="Gilroy"/>
        </w:rPr>
        <w:t xml:space="preserve"> en la lista de Los Mejores Lugares para Trabajar™ </w:t>
      </w:r>
      <w:r w:rsidR="003C2DD7">
        <w:rPr>
          <w:rFonts w:ascii="Gilroy" w:hAnsi="Gilroy"/>
        </w:rPr>
        <w:t xml:space="preserve">para </w:t>
      </w:r>
      <w:r w:rsidR="0095452D">
        <w:rPr>
          <w:rFonts w:ascii="Gilroy" w:hAnsi="Gilroy"/>
        </w:rPr>
        <w:t>Seniors e</w:t>
      </w:r>
      <w:r w:rsidRPr="007D0774">
        <w:rPr>
          <w:rFonts w:ascii="Gilroy" w:hAnsi="Gilroy"/>
        </w:rPr>
        <w:t>n Uruguay</w:t>
      </w:r>
      <w:r w:rsidR="0095452D">
        <w:rPr>
          <w:rFonts w:ascii="Gilroy" w:hAnsi="Gilroy"/>
        </w:rPr>
        <w:t>.</w:t>
      </w:r>
    </w:p>
    <w:p w14:paraId="7683DEC8" w14:textId="77777777" w:rsidR="00FD425F" w:rsidRPr="00FD425F" w:rsidRDefault="00FD425F" w:rsidP="00FD425F">
      <w:pPr>
        <w:rPr>
          <w:rFonts w:ascii="Gilroy" w:hAnsi="Gilroy"/>
        </w:rPr>
      </w:pPr>
      <w:r w:rsidRPr="00FD425F">
        <w:rPr>
          <w:rFonts w:ascii="Gilroy" w:hAnsi="Gilroy"/>
        </w:rPr>
        <w:t>Great Place to Work® analizó la experiencia de los colaboradores en sus lugares de trabajo y lo hicieron a la luz del tamaño de cada organización, la composición de la fuerza laboral y lo que es típico en su industria.</w:t>
      </w:r>
      <w:r w:rsidRPr="00FD425F">
        <w:rPr>
          <w:rFonts w:ascii="Calibri" w:hAnsi="Calibri" w:cs="Calibri"/>
        </w:rPr>
        <w:t> </w:t>
      </w:r>
    </w:p>
    <w:p w14:paraId="15729F30" w14:textId="77777777" w:rsidR="008243D2" w:rsidRPr="008243D2" w:rsidRDefault="008243D2" w:rsidP="008243D2">
      <w:pPr>
        <w:pStyle w:val="NormalWeb"/>
        <w:rPr>
          <w:rFonts w:ascii="Gilroy" w:hAnsi="Gilroy"/>
          <w:sz w:val="22"/>
          <w:szCs w:val="22"/>
          <w:lang w:val="es-UY"/>
        </w:rPr>
      </w:pPr>
      <w:r w:rsidRPr="008243D2">
        <w:rPr>
          <w:rFonts w:ascii="Gilroy" w:hAnsi="Gilroy"/>
          <w:sz w:val="22"/>
          <w:szCs w:val="22"/>
          <w:lang w:val="es-UY"/>
        </w:rPr>
        <w:t xml:space="preserve">El ranking de </w:t>
      </w:r>
      <w:r w:rsidRPr="008243D2">
        <w:rPr>
          <w:rFonts w:ascii="Gilroy" w:hAnsi="Gilroy"/>
          <w:b/>
          <w:bCs/>
          <w:sz w:val="22"/>
          <w:szCs w:val="22"/>
          <w:lang w:val="es-UY"/>
        </w:rPr>
        <w:t>Los Mejores Lugares para Trabajar™ para Seniors en Uruguay 2026</w:t>
      </w:r>
      <w:r w:rsidRPr="008243D2">
        <w:rPr>
          <w:rFonts w:ascii="Gilroy" w:hAnsi="Gilroy"/>
          <w:sz w:val="22"/>
          <w:szCs w:val="22"/>
          <w:lang w:val="es-UY"/>
        </w:rPr>
        <w:t xml:space="preserve"> reconoce a las organizaciones que se destacan por ofrecer una experiencia laboral excepcional para las personas senior, promoviendo culturas basadas en la confianza, el respeto, la inclusión y el desarrollo continuo.</w:t>
      </w:r>
    </w:p>
    <w:p w14:paraId="6951B087" w14:textId="77777777" w:rsidR="008243D2" w:rsidRPr="008243D2" w:rsidRDefault="008243D2" w:rsidP="008243D2">
      <w:pPr>
        <w:pStyle w:val="NormalWeb"/>
        <w:rPr>
          <w:rFonts w:ascii="Gilroy" w:hAnsi="Gilroy"/>
          <w:sz w:val="22"/>
          <w:szCs w:val="22"/>
          <w:lang w:val="es-UY"/>
        </w:rPr>
      </w:pPr>
      <w:r w:rsidRPr="008243D2">
        <w:rPr>
          <w:rFonts w:ascii="Gilroy" w:hAnsi="Gilroy"/>
          <w:sz w:val="22"/>
          <w:szCs w:val="22"/>
          <w:lang w:val="es-UY"/>
        </w:rPr>
        <w:t>Las empresas que integran esta lista demuestran su capacidad para valorar la experiencia, potenciar el talento en todas las etapas de la vida laboral y construir entornos donde las personas pueden crecer, aportar y sentirse parte. Son organizaciones resilientes, adaptables y comprometidas con el bienestar de sus colaboradores.</w:t>
      </w:r>
    </w:p>
    <w:p w14:paraId="7DEE1ECE" w14:textId="77777777" w:rsidR="008243D2" w:rsidRPr="008243D2" w:rsidRDefault="008243D2" w:rsidP="008243D2">
      <w:pPr>
        <w:pStyle w:val="NormalWeb"/>
        <w:rPr>
          <w:rFonts w:ascii="Gilroy" w:hAnsi="Gilroy"/>
          <w:sz w:val="22"/>
          <w:szCs w:val="22"/>
          <w:lang w:val="es-UY"/>
        </w:rPr>
      </w:pPr>
      <w:r w:rsidRPr="008243D2">
        <w:rPr>
          <w:rFonts w:ascii="Gilroy" w:hAnsi="Gilroy"/>
          <w:sz w:val="22"/>
          <w:szCs w:val="22"/>
          <w:lang w:val="es-UY"/>
        </w:rPr>
        <w:t xml:space="preserve">La edición 2026 está conformada por </w:t>
      </w:r>
      <w:r w:rsidRPr="008243D2">
        <w:rPr>
          <w:rFonts w:ascii="Gilroy" w:hAnsi="Gilroy"/>
          <w:b/>
          <w:bCs/>
          <w:sz w:val="22"/>
          <w:szCs w:val="22"/>
          <w:lang w:val="es-UY"/>
        </w:rPr>
        <w:t>20 organizaciones</w:t>
      </w:r>
      <w:r w:rsidRPr="008243D2">
        <w:rPr>
          <w:rFonts w:ascii="Gilroy" w:hAnsi="Gilroy"/>
          <w:sz w:val="22"/>
          <w:szCs w:val="22"/>
          <w:lang w:val="es-UY"/>
        </w:rPr>
        <w:t xml:space="preserve">, distribuidas en tres categorías: </w:t>
      </w:r>
      <w:r w:rsidRPr="008243D2">
        <w:rPr>
          <w:rFonts w:ascii="Gilroy" w:hAnsi="Gilroy"/>
          <w:b/>
          <w:bCs/>
          <w:sz w:val="22"/>
          <w:szCs w:val="22"/>
          <w:lang w:val="es-UY"/>
        </w:rPr>
        <w:t>menos de 50 colaboradores, entre 51 y 300 colaboradores, y más de 301 colaboradores</w:t>
      </w:r>
      <w:r w:rsidRPr="008243D2">
        <w:rPr>
          <w:rFonts w:ascii="Gilroy" w:hAnsi="Gilroy"/>
          <w:sz w:val="22"/>
          <w:szCs w:val="22"/>
          <w:lang w:val="es-UY"/>
        </w:rPr>
        <w:t>.</w:t>
      </w:r>
    </w:p>
    <w:p w14:paraId="0F563A86" w14:textId="77777777" w:rsidR="008243D2" w:rsidRPr="008243D2" w:rsidRDefault="008243D2" w:rsidP="008243D2">
      <w:pPr>
        <w:rPr>
          <w:rFonts w:ascii="Gilroy" w:eastAsia="Times New Roman" w:hAnsi="Gilroy" w:cs="Times New Roman"/>
          <w:b/>
          <w:bCs/>
          <w:color w:val="4472C4" w:themeColor="accent1"/>
          <w:lang w:val="es-UY" w:eastAsia="es-419"/>
        </w:rPr>
      </w:pPr>
      <w:r w:rsidRPr="008243D2">
        <w:rPr>
          <w:rFonts w:ascii="Gilroy" w:eastAsia="Times New Roman" w:hAnsi="Gilroy" w:cs="Times New Roman"/>
          <w:b/>
          <w:bCs/>
          <w:color w:val="4472C4" w:themeColor="accent1"/>
          <w:lang w:val="es-UY" w:eastAsia="es-419"/>
        </w:rPr>
        <w:t>¿Cómo se elabora el ranking?</w:t>
      </w:r>
    </w:p>
    <w:p w14:paraId="1DAE0BC8" w14:textId="77777777" w:rsidR="008243D2" w:rsidRPr="008243D2" w:rsidRDefault="008243D2" w:rsidP="008243D2">
      <w:pPr>
        <w:rPr>
          <w:rFonts w:ascii="Gilroy" w:eastAsia="Times New Roman" w:hAnsi="Gilroy" w:cs="Times New Roman"/>
          <w:color w:val="000000"/>
          <w:lang w:val="es-UY" w:eastAsia="es-419"/>
        </w:rPr>
      </w:pPr>
      <w:r w:rsidRPr="008243D2">
        <w:rPr>
          <w:rFonts w:ascii="Gilroy" w:eastAsia="Times New Roman" w:hAnsi="Gilroy" w:cs="Times New Roman"/>
          <w:color w:val="000000"/>
          <w:lang w:val="es-UY" w:eastAsia="es-419"/>
        </w:rPr>
        <w:t xml:space="preserve">Para identificar a </w:t>
      </w:r>
      <w:r w:rsidRPr="008243D2">
        <w:rPr>
          <w:rFonts w:ascii="Gilroy" w:eastAsia="Times New Roman" w:hAnsi="Gilroy" w:cs="Times New Roman"/>
          <w:b/>
          <w:bCs/>
          <w:color w:val="000000"/>
          <w:lang w:val="es-UY" w:eastAsia="es-419"/>
        </w:rPr>
        <w:t>Los Mejores Lugares para Trabajar™ para Seniors en Uruguay 2026</w:t>
      </w:r>
      <w:r w:rsidRPr="008243D2">
        <w:rPr>
          <w:rFonts w:ascii="Gilroy" w:eastAsia="Times New Roman" w:hAnsi="Gilroy" w:cs="Times New Roman"/>
          <w:color w:val="000000"/>
          <w:lang w:val="es-UY" w:eastAsia="es-419"/>
        </w:rPr>
        <w:t>, analizamos la experiencia de los colaboradores en sus lugares de trabajo, considerando el tamaño de cada organización, la composición de su fuerza laboral y las particularidades de su industria.</w:t>
      </w:r>
    </w:p>
    <w:p w14:paraId="3906B253" w14:textId="77777777" w:rsidR="008243D2" w:rsidRPr="008243D2" w:rsidRDefault="008243D2" w:rsidP="008243D2">
      <w:pPr>
        <w:rPr>
          <w:rFonts w:ascii="Gilroy" w:eastAsia="Times New Roman" w:hAnsi="Gilroy" w:cs="Times New Roman"/>
          <w:color w:val="000000"/>
          <w:lang w:val="es-UY" w:eastAsia="es-419"/>
        </w:rPr>
      </w:pPr>
      <w:r w:rsidRPr="008243D2">
        <w:rPr>
          <w:rFonts w:ascii="Gilroy" w:eastAsia="Times New Roman" w:hAnsi="Gilroy" w:cs="Times New Roman"/>
          <w:color w:val="000000"/>
          <w:lang w:val="es-UY" w:eastAsia="es-419"/>
        </w:rPr>
        <w:t xml:space="preserve">La evaluación se basa en las respuestas de los colaboradores a la encuesta </w:t>
      </w:r>
      <w:r w:rsidRPr="008243D2">
        <w:rPr>
          <w:rFonts w:ascii="Gilroy" w:eastAsia="Times New Roman" w:hAnsi="Gilroy" w:cs="Times New Roman"/>
          <w:b/>
          <w:bCs/>
          <w:color w:val="000000"/>
          <w:lang w:val="es-UY" w:eastAsia="es-419"/>
        </w:rPr>
        <w:t>Trust Index™</w:t>
      </w:r>
      <w:r w:rsidRPr="008243D2">
        <w:rPr>
          <w:rFonts w:ascii="Gilroy" w:eastAsia="Times New Roman" w:hAnsi="Gilroy" w:cs="Times New Roman"/>
          <w:color w:val="000000"/>
          <w:lang w:val="es-UY" w:eastAsia="es-419"/>
        </w:rPr>
        <w:t>, compuesta por 60 afirmaciones que miden el nivel de confianza y la experiencia laboral que ofrece cada organización.</w:t>
      </w:r>
    </w:p>
    <w:p w14:paraId="50F3FC9B" w14:textId="77777777" w:rsidR="008243D2" w:rsidRPr="008243D2" w:rsidRDefault="008243D2" w:rsidP="008243D2">
      <w:pPr>
        <w:rPr>
          <w:rFonts w:ascii="Gilroy" w:eastAsia="Times New Roman" w:hAnsi="Gilroy" w:cs="Times New Roman"/>
          <w:color w:val="000000"/>
          <w:lang w:val="es-UY" w:eastAsia="es-419"/>
        </w:rPr>
      </w:pPr>
      <w:r w:rsidRPr="008243D2">
        <w:rPr>
          <w:rFonts w:ascii="Gilroy" w:eastAsia="Times New Roman" w:hAnsi="Gilroy" w:cs="Times New Roman"/>
          <w:color w:val="000000"/>
          <w:lang w:val="es-UY" w:eastAsia="es-419"/>
        </w:rPr>
        <w:t xml:space="preserve">El resultado final surge del desempeño obtenido en los cinco componentes del </w:t>
      </w:r>
      <w:r w:rsidRPr="008243D2">
        <w:rPr>
          <w:rFonts w:ascii="Gilroy" w:eastAsia="Times New Roman" w:hAnsi="Gilroy" w:cs="Times New Roman"/>
          <w:b/>
          <w:bCs/>
          <w:color w:val="000000"/>
          <w:lang w:val="es-UY" w:eastAsia="es-419"/>
        </w:rPr>
        <w:t>Modelo For All™ de Great Place To Work®</w:t>
      </w:r>
      <w:r w:rsidRPr="008243D2">
        <w:rPr>
          <w:rFonts w:ascii="Gilroy" w:eastAsia="Times New Roman" w:hAnsi="Gilroy" w:cs="Times New Roman"/>
          <w:color w:val="000000"/>
          <w:lang w:val="es-UY" w:eastAsia="es-419"/>
        </w:rPr>
        <w:t>:</w:t>
      </w:r>
    </w:p>
    <w:p w14:paraId="3B2EBA13" w14:textId="77777777" w:rsidR="008243D2" w:rsidRPr="008243D2" w:rsidRDefault="008243D2" w:rsidP="008243D2">
      <w:pPr>
        <w:numPr>
          <w:ilvl w:val="0"/>
          <w:numId w:val="1"/>
        </w:numPr>
        <w:rPr>
          <w:rFonts w:ascii="Gilroy" w:eastAsia="Times New Roman" w:hAnsi="Gilroy" w:cs="Times New Roman"/>
          <w:color w:val="000000"/>
          <w:lang w:val="es-UY" w:eastAsia="es-419"/>
        </w:rPr>
      </w:pPr>
      <w:r w:rsidRPr="008243D2">
        <w:rPr>
          <w:rFonts w:ascii="Gilroy" w:eastAsia="Times New Roman" w:hAnsi="Gilroy" w:cs="Times New Roman"/>
          <w:b/>
          <w:bCs/>
          <w:color w:val="000000"/>
          <w:lang w:val="es-UY" w:eastAsia="es-419"/>
        </w:rPr>
        <w:t>Confianza</w:t>
      </w:r>
    </w:p>
    <w:p w14:paraId="0AA536BC" w14:textId="77777777" w:rsidR="008243D2" w:rsidRPr="008243D2" w:rsidRDefault="008243D2" w:rsidP="008243D2">
      <w:pPr>
        <w:numPr>
          <w:ilvl w:val="0"/>
          <w:numId w:val="1"/>
        </w:numPr>
        <w:rPr>
          <w:rFonts w:ascii="Gilroy" w:eastAsia="Times New Roman" w:hAnsi="Gilroy" w:cs="Times New Roman"/>
          <w:color w:val="000000"/>
          <w:lang w:val="es-UY" w:eastAsia="es-419"/>
        </w:rPr>
      </w:pPr>
      <w:r w:rsidRPr="008243D2">
        <w:rPr>
          <w:rFonts w:ascii="Gilroy" w:eastAsia="Times New Roman" w:hAnsi="Gilroy" w:cs="Times New Roman"/>
          <w:b/>
          <w:bCs/>
          <w:color w:val="000000"/>
          <w:lang w:val="es-UY" w:eastAsia="es-419"/>
        </w:rPr>
        <w:t>Maximizar el Potencial Humano</w:t>
      </w:r>
    </w:p>
    <w:p w14:paraId="7F3176E0" w14:textId="77777777" w:rsidR="008243D2" w:rsidRPr="008243D2" w:rsidRDefault="008243D2" w:rsidP="008243D2">
      <w:pPr>
        <w:numPr>
          <w:ilvl w:val="0"/>
          <w:numId w:val="1"/>
        </w:numPr>
        <w:rPr>
          <w:rFonts w:ascii="Gilroy" w:eastAsia="Times New Roman" w:hAnsi="Gilroy" w:cs="Times New Roman"/>
          <w:color w:val="000000"/>
          <w:lang w:val="es-UY" w:eastAsia="es-419"/>
        </w:rPr>
      </w:pPr>
      <w:r w:rsidRPr="008243D2">
        <w:rPr>
          <w:rFonts w:ascii="Gilroy" w:eastAsia="Times New Roman" w:hAnsi="Gilroy" w:cs="Times New Roman"/>
          <w:b/>
          <w:bCs/>
          <w:color w:val="000000"/>
          <w:lang w:val="es-UY" w:eastAsia="es-419"/>
        </w:rPr>
        <w:t>Valores</w:t>
      </w:r>
    </w:p>
    <w:p w14:paraId="27AA7280" w14:textId="77777777" w:rsidR="008243D2" w:rsidRPr="008243D2" w:rsidRDefault="008243D2" w:rsidP="008243D2">
      <w:pPr>
        <w:numPr>
          <w:ilvl w:val="0"/>
          <w:numId w:val="1"/>
        </w:numPr>
        <w:rPr>
          <w:rFonts w:ascii="Gilroy" w:eastAsia="Times New Roman" w:hAnsi="Gilroy" w:cs="Times New Roman"/>
          <w:color w:val="000000"/>
          <w:lang w:val="es-UY" w:eastAsia="es-419"/>
        </w:rPr>
      </w:pPr>
      <w:r w:rsidRPr="008243D2">
        <w:rPr>
          <w:rFonts w:ascii="Gilroy" w:eastAsia="Times New Roman" w:hAnsi="Gilroy" w:cs="Times New Roman"/>
          <w:b/>
          <w:bCs/>
          <w:color w:val="000000"/>
          <w:lang w:val="es-UY" w:eastAsia="es-419"/>
        </w:rPr>
        <w:t>Liderazgo</w:t>
      </w:r>
    </w:p>
    <w:p w14:paraId="50F76D8B" w14:textId="77777777" w:rsidR="008243D2" w:rsidRPr="008243D2" w:rsidRDefault="008243D2" w:rsidP="008243D2">
      <w:pPr>
        <w:numPr>
          <w:ilvl w:val="0"/>
          <w:numId w:val="1"/>
        </w:numPr>
        <w:rPr>
          <w:rFonts w:ascii="Gilroy" w:eastAsia="Times New Roman" w:hAnsi="Gilroy" w:cs="Times New Roman"/>
          <w:color w:val="000000"/>
          <w:lang w:val="es-UY" w:eastAsia="es-419"/>
        </w:rPr>
      </w:pPr>
      <w:r w:rsidRPr="008243D2">
        <w:rPr>
          <w:rFonts w:ascii="Gilroy" w:eastAsia="Times New Roman" w:hAnsi="Gilroy" w:cs="Times New Roman"/>
          <w:b/>
          <w:bCs/>
          <w:color w:val="000000"/>
          <w:lang w:val="es-UY" w:eastAsia="es-419"/>
        </w:rPr>
        <w:t>Innovación</w:t>
      </w:r>
    </w:p>
    <w:p w14:paraId="3F324D8E" w14:textId="77777777" w:rsidR="008243D2" w:rsidRPr="008243D2" w:rsidRDefault="008243D2" w:rsidP="008243D2">
      <w:pPr>
        <w:rPr>
          <w:rFonts w:ascii="Gilroy" w:eastAsia="Times New Roman" w:hAnsi="Gilroy" w:cs="Times New Roman"/>
          <w:color w:val="000000"/>
          <w:lang w:val="es-UY" w:eastAsia="es-419"/>
        </w:rPr>
      </w:pPr>
      <w:r w:rsidRPr="008243D2">
        <w:rPr>
          <w:rFonts w:ascii="Gilroy" w:eastAsia="Times New Roman" w:hAnsi="Gilroy" w:cs="Times New Roman"/>
          <w:color w:val="000000"/>
          <w:lang w:val="es-UY" w:eastAsia="es-419"/>
        </w:rPr>
        <w:lastRenderedPageBreak/>
        <w:t>Cada uno de estos pilares se construye a partir de distintos indicadores evaluados en la encuesta.</w:t>
      </w:r>
    </w:p>
    <w:p w14:paraId="07D6152F" w14:textId="77777777" w:rsidR="008243D2" w:rsidRPr="008243D2" w:rsidRDefault="008243D2" w:rsidP="008243D2">
      <w:pPr>
        <w:rPr>
          <w:rFonts w:ascii="Gilroy" w:eastAsia="Times New Roman" w:hAnsi="Gilroy" w:cs="Times New Roman"/>
          <w:color w:val="000000"/>
          <w:lang w:val="es-UY" w:eastAsia="es-419"/>
        </w:rPr>
      </w:pPr>
      <w:r w:rsidRPr="008243D2">
        <w:rPr>
          <w:rFonts w:ascii="Gilroy" w:eastAsia="Times New Roman" w:hAnsi="Gilroy" w:cs="Times New Roman"/>
          <w:color w:val="000000"/>
          <w:lang w:val="es-UY" w:eastAsia="es-419"/>
        </w:rPr>
        <w:t xml:space="preserve">Para el ranking de Seniors, este análisis se realiza específicamente sobre el colectivo de colaboradores de </w:t>
      </w:r>
      <w:r w:rsidRPr="008243D2">
        <w:rPr>
          <w:rFonts w:ascii="Gilroy" w:eastAsia="Times New Roman" w:hAnsi="Gilroy" w:cs="Times New Roman"/>
          <w:b/>
          <w:bCs/>
          <w:color w:val="000000"/>
          <w:lang w:val="es-UY" w:eastAsia="es-419"/>
        </w:rPr>
        <w:t>45 años o más</w:t>
      </w:r>
      <w:r w:rsidRPr="008243D2">
        <w:rPr>
          <w:rFonts w:ascii="Gilroy" w:eastAsia="Times New Roman" w:hAnsi="Gilroy" w:cs="Times New Roman"/>
          <w:color w:val="000000"/>
          <w:lang w:val="es-UY" w:eastAsia="es-419"/>
        </w:rPr>
        <w:t>, con el objetivo de comprender y reconocer aquellas organizaciones que generan una experiencia laboral sobresaliente para esta generación.</w:t>
      </w:r>
    </w:p>
    <w:p w14:paraId="3AF76253" w14:textId="77777777" w:rsidR="008243D2" w:rsidRPr="008243D2" w:rsidRDefault="008243D2" w:rsidP="008243D2">
      <w:pPr>
        <w:rPr>
          <w:rFonts w:ascii="Gilroy" w:eastAsia="Times New Roman" w:hAnsi="Gilroy" w:cs="Times New Roman"/>
          <w:b/>
          <w:bCs/>
          <w:color w:val="000000"/>
          <w:lang w:val="es-UY" w:eastAsia="es-419"/>
        </w:rPr>
      </w:pPr>
      <w:r w:rsidRPr="008243D2">
        <w:rPr>
          <w:rFonts w:ascii="Gilroy" w:eastAsia="Times New Roman" w:hAnsi="Gilroy" w:cs="Times New Roman"/>
          <w:b/>
          <w:bCs/>
          <w:color w:val="000000"/>
          <w:lang w:val="es-UY" w:eastAsia="es-419"/>
        </w:rPr>
        <w:t>Criterios de elegibilidad</w:t>
      </w:r>
    </w:p>
    <w:p w14:paraId="3F83D11C" w14:textId="77777777" w:rsidR="008243D2" w:rsidRPr="008243D2" w:rsidRDefault="008243D2" w:rsidP="008243D2">
      <w:pPr>
        <w:rPr>
          <w:rFonts w:ascii="Gilroy" w:eastAsia="Times New Roman" w:hAnsi="Gilroy" w:cs="Times New Roman"/>
          <w:color w:val="000000"/>
          <w:lang w:val="es-UY" w:eastAsia="es-419"/>
        </w:rPr>
      </w:pPr>
      <w:r w:rsidRPr="008243D2">
        <w:rPr>
          <w:rFonts w:ascii="Gilroy" w:eastAsia="Times New Roman" w:hAnsi="Gilroy" w:cs="Times New Roman"/>
          <w:color w:val="000000"/>
          <w:lang w:val="es-UY" w:eastAsia="es-419"/>
        </w:rPr>
        <w:t xml:space="preserve">Para formar parte del ranking de </w:t>
      </w:r>
      <w:r w:rsidRPr="008243D2">
        <w:rPr>
          <w:rFonts w:ascii="Gilroy" w:eastAsia="Times New Roman" w:hAnsi="Gilroy" w:cs="Times New Roman"/>
          <w:b/>
          <w:bCs/>
          <w:color w:val="000000"/>
          <w:lang w:val="es-UY" w:eastAsia="es-419"/>
        </w:rPr>
        <w:t>Los Mejores Lugares para Trabajar™ para Seniors</w:t>
      </w:r>
      <w:r w:rsidRPr="008243D2">
        <w:rPr>
          <w:rFonts w:ascii="Gilroy" w:eastAsia="Times New Roman" w:hAnsi="Gilroy" w:cs="Times New Roman"/>
          <w:color w:val="000000"/>
          <w:lang w:val="es-UY" w:eastAsia="es-419"/>
        </w:rPr>
        <w:t>, las organizaciones deben cumplir con los siguientes requisitos:</w:t>
      </w:r>
    </w:p>
    <w:p w14:paraId="3EF9F989" w14:textId="77777777" w:rsidR="008243D2" w:rsidRPr="008243D2" w:rsidRDefault="008243D2" w:rsidP="008243D2">
      <w:pPr>
        <w:numPr>
          <w:ilvl w:val="0"/>
          <w:numId w:val="2"/>
        </w:numPr>
        <w:rPr>
          <w:rFonts w:ascii="Gilroy" w:eastAsia="Times New Roman" w:hAnsi="Gilroy" w:cs="Times New Roman"/>
          <w:color w:val="000000"/>
          <w:lang w:val="es-UY" w:eastAsia="es-419"/>
        </w:rPr>
      </w:pPr>
      <w:r w:rsidRPr="008243D2">
        <w:rPr>
          <w:rFonts w:ascii="Gilroy" w:eastAsia="Times New Roman" w:hAnsi="Gilroy" w:cs="Times New Roman"/>
          <w:color w:val="000000"/>
          <w:lang w:val="es-UY" w:eastAsia="es-419"/>
        </w:rPr>
        <w:t xml:space="preserve">Contar con una dotación compuesta por al menos un </w:t>
      </w:r>
      <w:r w:rsidRPr="008243D2">
        <w:rPr>
          <w:rFonts w:ascii="Gilroy" w:eastAsia="Times New Roman" w:hAnsi="Gilroy" w:cs="Times New Roman"/>
          <w:b/>
          <w:bCs/>
          <w:color w:val="000000"/>
          <w:lang w:val="es-UY" w:eastAsia="es-419"/>
        </w:rPr>
        <w:t>20% de colaboradores seniors</w:t>
      </w:r>
      <w:r w:rsidRPr="008243D2">
        <w:rPr>
          <w:rFonts w:ascii="Gilroy" w:eastAsia="Times New Roman" w:hAnsi="Gilroy" w:cs="Times New Roman"/>
          <w:color w:val="000000"/>
          <w:lang w:val="es-UY" w:eastAsia="es-419"/>
        </w:rPr>
        <w:t xml:space="preserve"> (45 años o más).</w:t>
      </w:r>
    </w:p>
    <w:p w14:paraId="16E6D8DC" w14:textId="77777777" w:rsidR="008243D2" w:rsidRPr="008243D2" w:rsidRDefault="008243D2" w:rsidP="008243D2">
      <w:pPr>
        <w:numPr>
          <w:ilvl w:val="0"/>
          <w:numId w:val="2"/>
        </w:numPr>
        <w:rPr>
          <w:rFonts w:ascii="Gilroy" w:eastAsia="Times New Roman" w:hAnsi="Gilroy" w:cs="Times New Roman"/>
          <w:color w:val="000000"/>
          <w:lang w:val="es-UY" w:eastAsia="es-419"/>
        </w:rPr>
      </w:pPr>
      <w:r w:rsidRPr="008243D2">
        <w:rPr>
          <w:rFonts w:ascii="Gilroy" w:eastAsia="Times New Roman" w:hAnsi="Gilroy" w:cs="Times New Roman"/>
          <w:color w:val="000000"/>
          <w:lang w:val="es-UY" w:eastAsia="es-419"/>
        </w:rPr>
        <w:t xml:space="preserve">Alcanzar un mínimo de </w:t>
      </w:r>
      <w:r w:rsidRPr="008243D2">
        <w:rPr>
          <w:rFonts w:ascii="Gilroy" w:eastAsia="Times New Roman" w:hAnsi="Gilroy" w:cs="Times New Roman"/>
          <w:b/>
          <w:bCs/>
          <w:color w:val="000000"/>
          <w:lang w:val="es-UY" w:eastAsia="es-419"/>
        </w:rPr>
        <w:t>70 puntos de percepción positiva</w:t>
      </w:r>
      <w:r w:rsidRPr="008243D2">
        <w:rPr>
          <w:rFonts w:ascii="Gilroy" w:eastAsia="Times New Roman" w:hAnsi="Gilroy" w:cs="Times New Roman"/>
          <w:color w:val="000000"/>
          <w:lang w:val="es-UY" w:eastAsia="es-419"/>
        </w:rPr>
        <w:t xml:space="preserve"> en el </w:t>
      </w:r>
      <w:r w:rsidRPr="008243D2">
        <w:rPr>
          <w:rFonts w:ascii="Gilroy" w:eastAsia="Times New Roman" w:hAnsi="Gilroy" w:cs="Times New Roman"/>
          <w:b/>
          <w:bCs/>
          <w:color w:val="000000"/>
          <w:lang w:val="es-UY" w:eastAsia="es-419"/>
        </w:rPr>
        <w:t>Trust Index™</w:t>
      </w:r>
      <w:r w:rsidRPr="008243D2">
        <w:rPr>
          <w:rFonts w:ascii="Gilroy" w:eastAsia="Times New Roman" w:hAnsi="Gilroy" w:cs="Times New Roman"/>
          <w:color w:val="000000"/>
          <w:lang w:val="es-UY" w:eastAsia="es-419"/>
        </w:rPr>
        <w:t>, tanto en el resultado general de la organización como en la población senior evaluada.</w:t>
      </w:r>
    </w:p>
    <w:p w14:paraId="311A2C77" w14:textId="77777777" w:rsidR="008243D2" w:rsidRPr="008243D2" w:rsidRDefault="008243D2" w:rsidP="008243D2">
      <w:pPr>
        <w:rPr>
          <w:rFonts w:ascii="Gilroy" w:eastAsia="Times New Roman" w:hAnsi="Gilroy" w:cs="Times New Roman"/>
          <w:color w:val="000000"/>
          <w:lang w:val="es-UY" w:eastAsia="es-419"/>
        </w:rPr>
      </w:pPr>
      <w:r w:rsidRPr="008243D2">
        <w:rPr>
          <w:rFonts w:ascii="Gilroy" w:eastAsia="Times New Roman" w:hAnsi="Gilroy" w:cs="Times New Roman"/>
          <w:color w:val="000000"/>
          <w:lang w:val="es-UY" w:eastAsia="es-419"/>
        </w:rPr>
        <w:t>Estos criterios garantizan que las organizaciones reconocidas no solo cuenten con una presencia significativa de talento senior, sino que además les ofrezcan una experiencia laboral de excelencia basada en la confianza, la inclusión y el desarrollo.</w:t>
      </w:r>
    </w:p>
    <w:p w14:paraId="61D345F4" w14:textId="1B94E52F" w:rsidR="00BD7359" w:rsidRPr="0095452D" w:rsidRDefault="007D0774" w:rsidP="00BD7359">
      <w:pPr>
        <w:rPr>
          <w:rFonts w:ascii="Gilroy" w:hAnsi="Gilroy"/>
          <w:color w:val="4472C4" w:themeColor="accent1"/>
        </w:rPr>
      </w:pPr>
      <w:r w:rsidRPr="0095452D">
        <w:rPr>
          <w:rFonts w:ascii="Gilroy" w:hAnsi="Gilroy"/>
          <w:color w:val="4472C4" w:themeColor="accent1"/>
        </w:rPr>
        <w:t>Los grandes lugares para trabajar son mejores para los Negocios, mejores para las Personas y mejores para el Mundo.</w:t>
      </w:r>
    </w:p>
    <w:p w14:paraId="3E4A8B40" w14:textId="77777777" w:rsidR="009C50D2" w:rsidRPr="007D0774" w:rsidRDefault="009C50D2" w:rsidP="009C50D2">
      <w:pPr>
        <w:rPr>
          <w:rFonts w:ascii="Gilroy" w:hAnsi="Gilroy"/>
        </w:rPr>
      </w:pPr>
      <w:r w:rsidRPr="007D0774">
        <w:rPr>
          <w:rFonts w:ascii="Gilroy" w:hAnsi="Gilroy"/>
        </w:rPr>
        <w:t>…………………………….</w:t>
      </w:r>
    </w:p>
    <w:p w14:paraId="3A2902BB" w14:textId="77777777" w:rsidR="007D0774" w:rsidRPr="007D0774" w:rsidRDefault="007D0774" w:rsidP="00BD7359">
      <w:pPr>
        <w:rPr>
          <w:rFonts w:ascii="Gilroy" w:hAnsi="Gilroy"/>
        </w:rPr>
      </w:pPr>
    </w:p>
    <w:p w14:paraId="012F946F" w14:textId="46485B5A" w:rsidR="00BD7359" w:rsidRPr="007D0774" w:rsidRDefault="008D79A2" w:rsidP="00BD7359">
      <w:pPr>
        <w:rPr>
          <w:rFonts w:ascii="Gilroy" w:hAnsi="Gilroy"/>
        </w:rPr>
      </w:pPr>
      <w:r w:rsidRPr="007D0774">
        <w:rPr>
          <w:rFonts w:ascii="Gilroy" w:hAnsi="Gilroy"/>
        </w:rPr>
        <w:t xml:space="preserve">Agregar </w:t>
      </w:r>
      <w:r w:rsidR="00BD7359" w:rsidRPr="007D0774">
        <w:rPr>
          <w:rFonts w:ascii="Gilroy" w:hAnsi="Gilroy"/>
          <w:highlight w:val="lightGray"/>
        </w:rPr>
        <w:t>COMPAÑIA X Estadísticas/Comentarios de los empleados</w:t>
      </w:r>
      <w:r w:rsidR="00BD7359" w:rsidRPr="007D0774">
        <w:rPr>
          <w:rFonts w:ascii="Gilroy" w:hAnsi="Gilroy"/>
        </w:rPr>
        <w:t xml:space="preserve"> acerca de por qué la empresa es un Gran Lugar para Trabajar. </w:t>
      </w:r>
    </w:p>
    <w:p w14:paraId="195E244B" w14:textId="305739A7" w:rsidR="00BD7359" w:rsidRPr="007D0774" w:rsidRDefault="008D79A2" w:rsidP="00BD7359">
      <w:pPr>
        <w:rPr>
          <w:rFonts w:ascii="Gilroy" w:hAnsi="Gilroy"/>
        </w:rPr>
      </w:pPr>
      <w:r w:rsidRPr="007D0774">
        <w:rPr>
          <w:rFonts w:ascii="Gilroy" w:hAnsi="Gilroy"/>
        </w:rPr>
        <w:t>Agregar</w:t>
      </w:r>
      <w:r w:rsidRPr="007D0774">
        <w:rPr>
          <w:rFonts w:ascii="Gilroy" w:hAnsi="Gilroy"/>
          <w:highlight w:val="lightGray"/>
        </w:rPr>
        <w:t xml:space="preserve"> </w:t>
      </w:r>
      <w:r w:rsidR="00BD7359" w:rsidRPr="007D0774">
        <w:rPr>
          <w:rFonts w:ascii="Gilroy" w:hAnsi="Gilroy"/>
          <w:highlight w:val="lightGray"/>
        </w:rPr>
        <w:t>COMPAÑIA X Comentario del CEO o líder mundial de RRHH</w:t>
      </w:r>
      <w:r w:rsidR="00BD7359" w:rsidRPr="007D0774">
        <w:rPr>
          <w:rFonts w:ascii="Gilroy" w:hAnsi="Gilroy"/>
        </w:rPr>
        <w:t xml:space="preserve"> acerca de por qué la compañía es un Gran Lugar para Trabajar. </w:t>
      </w:r>
    </w:p>
    <w:p w14:paraId="4BA30D0A" w14:textId="025352DD" w:rsidR="00BD7359" w:rsidRPr="007D0774" w:rsidRDefault="008D79A2" w:rsidP="00BD7359">
      <w:pPr>
        <w:rPr>
          <w:rFonts w:ascii="Gilroy" w:hAnsi="Gilroy"/>
          <w:highlight w:val="lightGray"/>
        </w:rPr>
      </w:pPr>
      <w:r w:rsidRPr="007D0774">
        <w:rPr>
          <w:rFonts w:ascii="Gilroy" w:hAnsi="Gilroy"/>
          <w:highlight w:val="lightGray"/>
        </w:rPr>
        <w:t>Agregar información de la empresa:</w:t>
      </w:r>
    </w:p>
    <w:p w14:paraId="49381C06" w14:textId="77777777" w:rsidR="00BD7359" w:rsidRPr="007D0774" w:rsidRDefault="00BD7359" w:rsidP="00BD7359">
      <w:pPr>
        <w:rPr>
          <w:rFonts w:ascii="Gilroy" w:hAnsi="Gilroy"/>
        </w:rPr>
      </w:pPr>
      <w:r w:rsidRPr="007D0774">
        <w:rPr>
          <w:rFonts w:ascii="Gilroy" w:hAnsi="Gilroy"/>
          <w:highlight w:val="lightGray"/>
        </w:rPr>
        <w:t>Acerca de [Empresa]:</w:t>
      </w:r>
    </w:p>
    <w:p w14:paraId="49D88FDF" w14:textId="77777777" w:rsidR="00BD7359" w:rsidRPr="007D0774" w:rsidRDefault="00BD7359" w:rsidP="00BD7359">
      <w:pPr>
        <w:rPr>
          <w:rFonts w:ascii="Gilroy" w:hAnsi="Gilroy"/>
        </w:rPr>
      </w:pPr>
    </w:p>
    <w:p w14:paraId="141446C4" w14:textId="6FE53ABB" w:rsidR="00BD7359" w:rsidRPr="007D0774" w:rsidRDefault="00BD7359" w:rsidP="00BD7359">
      <w:pPr>
        <w:rPr>
          <w:rFonts w:ascii="Gilroy" w:hAnsi="Gilroy"/>
        </w:rPr>
      </w:pPr>
      <w:r w:rsidRPr="007D0774">
        <w:rPr>
          <w:rFonts w:ascii="Gilroy" w:hAnsi="Gilroy"/>
        </w:rPr>
        <w:t>…………</w:t>
      </w:r>
      <w:r w:rsidR="008D79A2" w:rsidRPr="007D0774">
        <w:rPr>
          <w:rFonts w:ascii="Gilroy" w:hAnsi="Gilroy"/>
        </w:rPr>
        <w:t>………………….</w:t>
      </w:r>
    </w:p>
    <w:p w14:paraId="68EB7E21" w14:textId="480AFAC4" w:rsidR="00BD7359" w:rsidRPr="007D0774" w:rsidRDefault="00BD7359" w:rsidP="00BD7359">
      <w:pPr>
        <w:rPr>
          <w:rFonts w:ascii="Gilroy" w:hAnsi="Gilroy"/>
        </w:rPr>
      </w:pPr>
    </w:p>
    <w:p w14:paraId="5384A6B0" w14:textId="77777777" w:rsidR="008D79A2" w:rsidRPr="007D0774" w:rsidRDefault="008D79A2" w:rsidP="00BD7359">
      <w:pPr>
        <w:rPr>
          <w:rFonts w:ascii="Gilroy" w:hAnsi="Gilroy"/>
        </w:rPr>
      </w:pPr>
    </w:p>
    <w:p w14:paraId="2D52A948" w14:textId="77777777" w:rsidR="00BD7359" w:rsidRPr="007D0774" w:rsidRDefault="00BD7359" w:rsidP="00BD7359">
      <w:pPr>
        <w:rPr>
          <w:rFonts w:ascii="Gilroy" w:hAnsi="Gilroy"/>
        </w:rPr>
      </w:pPr>
      <w:r w:rsidRPr="007D0774">
        <w:rPr>
          <w:rFonts w:ascii="Gilroy" w:hAnsi="Gilroy"/>
          <w:highlight w:val="yellow"/>
        </w:rPr>
        <w:t>Acerca de Great Place to Work®:</w:t>
      </w:r>
      <w:r w:rsidRPr="007D0774">
        <w:rPr>
          <w:rFonts w:ascii="Gilroy" w:hAnsi="Gilroy"/>
        </w:rPr>
        <w:t xml:space="preserve"> </w:t>
      </w:r>
    </w:p>
    <w:p w14:paraId="2696081B" w14:textId="1D06793C" w:rsidR="00BD7359" w:rsidRPr="007D0774" w:rsidRDefault="00BD7359" w:rsidP="00BD7359">
      <w:pPr>
        <w:rPr>
          <w:rFonts w:ascii="Gilroy" w:hAnsi="Gilroy"/>
        </w:rPr>
      </w:pPr>
      <w:r w:rsidRPr="007D0774">
        <w:rPr>
          <w:rFonts w:ascii="Gilroy" w:hAnsi="Gilroy"/>
        </w:rPr>
        <w:t xml:space="preserve">Great Place to Work® es la autoridad mundial en cultura laboral. Desde hace más de 30 años ayudamos a las organizaciones a cuantificar su cultura y producir mejores resultados comerciales creando una experiencia laboral de alta confianza para todos los empleados. </w:t>
      </w:r>
    </w:p>
    <w:p w14:paraId="64C1C434" w14:textId="77777777" w:rsidR="00BD7359" w:rsidRPr="007D0774" w:rsidRDefault="00BD7359" w:rsidP="00BD7359">
      <w:pPr>
        <w:rPr>
          <w:rFonts w:ascii="Gilroy" w:hAnsi="Gilroy"/>
        </w:rPr>
      </w:pPr>
      <w:r w:rsidRPr="007D0774">
        <w:rPr>
          <w:rFonts w:ascii="Gilroy" w:hAnsi="Gilroy"/>
        </w:rPr>
        <w:lastRenderedPageBreak/>
        <w:t>Emprising™, nuestra plataforma de gestión de la cultura empodera a los líderes con encuestas, informes en tiempo real y conocimientos que necesitan para tomar decisiones basadas en datos.</w:t>
      </w:r>
    </w:p>
    <w:p w14:paraId="43D33058" w14:textId="77777777" w:rsidR="007D0774" w:rsidRPr="007D0774" w:rsidRDefault="007D0774" w:rsidP="007D0774">
      <w:pPr>
        <w:pStyle w:val="NormalWeb"/>
        <w:rPr>
          <w:rFonts w:ascii="Gilroy" w:hAnsi="Gilroy"/>
          <w:color w:val="000000"/>
          <w:sz w:val="22"/>
          <w:szCs w:val="22"/>
        </w:rPr>
      </w:pPr>
      <w:r w:rsidRPr="007D0774">
        <w:rPr>
          <w:rFonts w:ascii="Gilroy" w:hAnsi="Gilroy"/>
          <w:color w:val="000000"/>
          <w:sz w:val="22"/>
          <w:szCs w:val="22"/>
        </w:rPr>
        <w:t>La metodología implementada en Los Mejores Lugares para Trabajar™ es única y ha sido probada por más de veinte años consecutivos de aplicación en más de 97 países. La consistencia y credibilidad lo confirman año a año las más de 10.000 organizaciones que participan y más de 10 millones de personas que han contestado nuestra encuesta.</w:t>
      </w:r>
    </w:p>
    <w:p w14:paraId="7890FB45" w14:textId="4E9AA05A" w:rsidR="00BD7359" w:rsidRPr="007D0774" w:rsidRDefault="007D0774" w:rsidP="007D0774">
      <w:pPr>
        <w:pStyle w:val="NormalWeb"/>
        <w:rPr>
          <w:rFonts w:ascii="Gilroy" w:hAnsi="Gilroy"/>
          <w:color w:val="000000"/>
          <w:sz w:val="22"/>
          <w:szCs w:val="22"/>
        </w:rPr>
      </w:pPr>
      <w:r w:rsidRPr="007D0774">
        <w:rPr>
          <w:rFonts w:ascii="Gilroy" w:hAnsi="Gilroy"/>
          <w:color w:val="000000"/>
          <w:sz w:val="22"/>
          <w:szCs w:val="22"/>
        </w:rPr>
        <w:t>Alentamos a más empresas a seguir transformándose y a desafiarse a construir grandes lugares para trabajar generando relaciones de confianza. Esa es la clave del crecimiento sustentable para sus negocios, la comunidad y el mundo.</w:t>
      </w:r>
    </w:p>
    <w:p w14:paraId="6D2B6181" w14:textId="5EE2765E" w:rsidR="00E57318" w:rsidRPr="007D0774" w:rsidRDefault="00BD7359" w:rsidP="00BD7359">
      <w:pPr>
        <w:rPr>
          <w:rFonts w:ascii="Gilroy" w:hAnsi="Gilroy"/>
        </w:rPr>
      </w:pPr>
      <w:r w:rsidRPr="007D0774">
        <w:rPr>
          <w:rFonts w:ascii="Gilroy" w:hAnsi="Gilroy"/>
        </w:rPr>
        <w:t xml:space="preserve">    </w:t>
      </w:r>
    </w:p>
    <w:sectPr w:rsidR="00E57318" w:rsidRPr="007D077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roy Bold">
    <w:panose1 w:val="00000800000000000000"/>
    <w:charset w:val="00"/>
    <w:family w:val="modern"/>
    <w:notTrueType/>
    <w:pitch w:val="variable"/>
    <w:sig w:usb0="00000207" w:usb1="00000000" w:usb2="00000000" w:usb3="00000000" w:csb0="00000097" w:csb1="00000000"/>
  </w:font>
  <w:font w:name="Gilroy">
    <w:panose1 w:val="00000500000000000000"/>
    <w:charset w:val="00"/>
    <w:family w:val="modern"/>
    <w:notTrueType/>
    <w:pitch w:val="variable"/>
    <w:sig w:usb0="00000207" w:usb1="00000000"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824DBB"/>
    <w:multiLevelType w:val="multilevel"/>
    <w:tmpl w:val="9EBAC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8B25BD"/>
    <w:multiLevelType w:val="multilevel"/>
    <w:tmpl w:val="EEE2D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3221436">
    <w:abstractNumId w:val="0"/>
  </w:num>
  <w:num w:numId="2" w16cid:durableId="2026713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359"/>
    <w:rsid w:val="0000279B"/>
    <w:rsid w:val="00004388"/>
    <w:rsid w:val="000B5160"/>
    <w:rsid w:val="00161F5F"/>
    <w:rsid w:val="00176755"/>
    <w:rsid w:val="001A225B"/>
    <w:rsid w:val="003C2DD7"/>
    <w:rsid w:val="005D35BC"/>
    <w:rsid w:val="006D31D0"/>
    <w:rsid w:val="007D0774"/>
    <w:rsid w:val="008243D2"/>
    <w:rsid w:val="008D79A2"/>
    <w:rsid w:val="00900819"/>
    <w:rsid w:val="0095452D"/>
    <w:rsid w:val="009C50D2"/>
    <w:rsid w:val="00A508BD"/>
    <w:rsid w:val="00B47CEE"/>
    <w:rsid w:val="00B61D20"/>
    <w:rsid w:val="00BD7359"/>
    <w:rsid w:val="00C84159"/>
    <w:rsid w:val="00CB6F5E"/>
    <w:rsid w:val="00DC5032"/>
    <w:rsid w:val="00E57318"/>
    <w:rsid w:val="00EF77F3"/>
    <w:rsid w:val="00FD425F"/>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A08A4"/>
  <w15:chartTrackingRefBased/>
  <w15:docId w15:val="{ABF319A3-17DA-425F-898E-A7EA5A817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7D0774"/>
    <w:pPr>
      <w:spacing w:before="100" w:beforeAutospacing="1" w:after="100" w:afterAutospacing="1" w:line="240" w:lineRule="auto"/>
    </w:pPr>
    <w:rPr>
      <w:rFonts w:ascii="Times New Roman" w:eastAsia="Times New Roman" w:hAnsi="Times New Roman" w:cs="Times New Roman"/>
      <w:sz w:val="24"/>
      <w:szCs w:val="24"/>
      <w:lang w:eastAsia="es-419"/>
    </w:rPr>
  </w:style>
  <w:style w:type="character" w:styleId="Fuerte">
    <w:name w:val="Strong"/>
    <w:basedOn w:val="Fuentedeprrafopredeter"/>
    <w:uiPriority w:val="22"/>
    <w:qFormat/>
    <w:rsid w:val="003C2D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952221">
      <w:bodyDiv w:val="1"/>
      <w:marLeft w:val="0"/>
      <w:marRight w:val="0"/>
      <w:marTop w:val="0"/>
      <w:marBottom w:val="0"/>
      <w:divBdr>
        <w:top w:val="none" w:sz="0" w:space="0" w:color="auto"/>
        <w:left w:val="none" w:sz="0" w:space="0" w:color="auto"/>
        <w:bottom w:val="none" w:sz="0" w:space="0" w:color="auto"/>
        <w:right w:val="none" w:sz="0" w:space="0" w:color="auto"/>
      </w:divBdr>
    </w:div>
    <w:div w:id="622348870">
      <w:bodyDiv w:val="1"/>
      <w:marLeft w:val="0"/>
      <w:marRight w:val="0"/>
      <w:marTop w:val="0"/>
      <w:marBottom w:val="0"/>
      <w:divBdr>
        <w:top w:val="none" w:sz="0" w:space="0" w:color="auto"/>
        <w:left w:val="none" w:sz="0" w:space="0" w:color="auto"/>
        <w:bottom w:val="none" w:sz="0" w:space="0" w:color="auto"/>
        <w:right w:val="none" w:sz="0" w:space="0" w:color="auto"/>
      </w:divBdr>
    </w:div>
    <w:div w:id="831487174">
      <w:bodyDiv w:val="1"/>
      <w:marLeft w:val="0"/>
      <w:marRight w:val="0"/>
      <w:marTop w:val="0"/>
      <w:marBottom w:val="0"/>
      <w:divBdr>
        <w:top w:val="none" w:sz="0" w:space="0" w:color="auto"/>
        <w:left w:val="none" w:sz="0" w:space="0" w:color="auto"/>
        <w:bottom w:val="none" w:sz="0" w:space="0" w:color="auto"/>
        <w:right w:val="none" w:sz="0" w:space="0" w:color="auto"/>
      </w:divBdr>
    </w:div>
    <w:div w:id="92546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734</Words>
  <Characters>4040</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Noel Sanguinetti</dc:creator>
  <cp:keywords/>
  <dc:description/>
  <cp:lastModifiedBy>María Noel Sanguinetti</cp:lastModifiedBy>
  <cp:revision>2</cp:revision>
  <cp:lastPrinted>2023-05-26T17:01:00Z</cp:lastPrinted>
  <dcterms:created xsi:type="dcterms:W3CDTF">2026-10-13T14:06:00Z</dcterms:created>
  <dcterms:modified xsi:type="dcterms:W3CDTF">2026-10-13T14:06:00Z</dcterms:modified>
</cp:coreProperties>
</file>